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6E69A">
      <w:pPr>
        <w:autoSpaceDE/>
        <w:autoSpaceDN/>
        <w:rPr>
          <w:rFonts w:hint="eastAsia" w:ascii="Times New Roman" w:hAnsi="Times New Roman"/>
          <w:highlight w:val="none"/>
        </w:rPr>
      </w:pPr>
    </w:p>
    <w:p w14:paraId="773DBBB8">
      <w:pPr>
        <w:autoSpaceDE/>
        <w:autoSpaceDN/>
        <w:rPr>
          <w:rFonts w:ascii="Times New Roman" w:hAnsi="Times New Roman"/>
          <w:highlight w:val="none"/>
        </w:rPr>
      </w:pPr>
    </w:p>
    <w:p w14:paraId="7F8EBBCF">
      <w:pPr>
        <w:autoSpaceDE/>
        <w:autoSpaceDN/>
        <w:rPr>
          <w:rFonts w:ascii="Times New Roman" w:hAnsi="Times New Roman"/>
          <w:highlight w:val="none"/>
        </w:rPr>
      </w:pPr>
    </w:p>
    <w:p w14:paraId="3DDC3E69">
      <w:pPr>
        <w:pStyle w:val="28"/>
        <w:framePr w:wrap="around"/>
        <w:rPr>
          <w:rFonts w:ascii="Times New Roman" w:hAnsi="Times New Roman"/>
          <w:highlight w:val="none"/>
        </w:rPr>
      </w:pPr>
      <w:r>
        <w:rPr>
          <w:rFonts w:ascii="Times New Roman" w:hAnsi="Times New Roman"/>
          <w:highlight w:val="none"/>
        </w:rPr>
        <w:t>ICS</w:t>
      </w:r>
      <w:r>
        <w:rPr>
          <w:rFonts w:hint="eastAsia" w:ascii="Times New Roman" w:hAnsi="Times New Roman" w:eastAsia="MS Gothic" w:cs="MS Gothic"/>
          <w:highlight w:val="none"/>
        </w:rPr>
        <w:t> </w:t>
      </w:r>
      <w:r>
        <w:rPr>
          <w:rFonts w:hint="eastAsia" w:ascii="Times New Roman" w:hAnsi="Times New Roman"/>
          <w:sz w:val="18"/>
          <w:highlight w:val="none"/>
        </w:rPr>
        <w:t>9</w:t>
      </w:r>
      <w:r>
        <w:rPr>
          <w:rFonts w:ascii="Times New Roman" w:hAnsi="Times New Roman"/>
          <w:sz w:val="18"/>
          <w:highlight w:val="none"/>
        </w:rPr>
        <w:t>1.100.30</w:t>
      </w:r>
    </w:p>
    <w:p w14:paraId="5B9A412A">
      <w:pPr>
        <w:pStyle w:val="28"/>
        <w:framePr w:wrap="around"/>
        <w:rPr>
          <w:rFonts w:ascii="Times New Roman" w:hAnsi="Times New Roman"/>
          <w:highlight w:val="none"/>
        </w:rPr>
      </w:pPr>
      <w:bookmarkStart w:id="0" w:name="WXFLH"/>
      <w:r>
        <w:rPr>
          <w:rFonts w:ascii="Times New Roman" w:hAnsi="Times New Roman"/>
          <w:highlight w:val="none"/>
        </w:rPr>
        <w:t xml:space="preserve">CCS </w:t>
      </w:r>
      <w:bookmarkEnd w:id="0"/>
      <w:r>
        <w:rPr>
          <w:rFonts w:ascii="Times New Roman" w:hAnsi="Times New Roman"/>
          <w:sz w:val="18"/>
          <w:highlight w:val="none"/>
        </w:rPr>
        <w:t>Q13</w:t>
      </w:r>
    </w:p>
    <w:tbl>
      <w:tblPr>
        <w:tblStyle w:val="22"/>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5D346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18840E3F">
            <w:pPr>
              <w:pStyle w:val="28"/>
              <w:framePr w:wrap="around"/>
              <w:rPr>
                <w:rFonts w:ascii="Times New Roman" w:hAnsi="Times New Roman"/>
                <w:highlight w:val="none"/>
              </w:rPr>
            </w:pPr>
            <w:r>
              <w:rPr>
                <w:rFonts w:ascii="Times New Roman" w:hAnsi="Times New Roman"/>
                <w:highlight w:val="none"/>
              </w:rPr>
              <w:t>备案号：</w:t>
            </w:r>
            <w:r>
              <w:rPr>
                <w:rFonts w:ascii="Times New Roman" w:hAnsi="Times New Roman"/>
                <w:highlight w:val="none"/>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1A4C84F8"/>
                              </w:txbxContent>
                            </wps:txbx>
                            <wps:bodyPr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1A4C84F8"/>
                        </w:txbxContent>
                      </v:textbox>
                    </v:rect>
                  </w:pict>
                </mc:Fallback>
              </mc:AlternateContent>
            </w:r>
          </w:p>
        </w:tc>
      </w:tr>
    </w:tbl>
    <w:p w14:paraId="60951F35">
      <w:pPr>
        <w:pStyle w:val="29"/>
        <w:framePr w:wrap="around"/>
        <w:rPr>
          <w:rFonts w:ascii="Times New Roman" w:hAnsi="Times New Roman"/>
          <w:b w:val="0"/>
          <w:highlight w:val="none"/>
        </w:rPr>
      </w:pPr>
      <w:bookmarkStart w:id="1" w:name="c1"/>
      <w:r>
        <w:rPr>
          <w:rFonts w:ascii="Times New Roman" w:hAnsi="Times New Roman"/>
          <w:b w:val="0"/>
          <w:highlight w:val="none"/>
        </w:rPr>
        <w:fldChar w:fldCharType="begin">
          <w:ffData>
            <w:name w:val="c1"/>
            <w:enabled/>
            <w:calcOnExit w:val="0"/>
            <w:entryMacro w:val="ShowHelp15"/>
            <w:textInput>
              <w:maxLength w:val="2"/>
            </w:textInput>
          </w:ffData>
        </w:fldChar>
      </w:r>
      <w:r>
        <w:rPr>
          <w:rFonts w:ascii="Times New Roman" w:hAnsi="Times New Roman"/>
          <w:b w:val="0"/>
          <w:highlight w:val="none"/>
        </w:rPr>
        <w:instrText xml:space="preserve"> FORMTEXT </w:instrText>
      </w:r>
      <w:r>
        <w:rPr>
          <w:rFonts w:ascii="Times New Roman" w:hAnsi="Times New Roman"/>
          <w:b w:val="0"/>
          <w:highlight w:val="none"/>
        </w:rPr>
        <w:fldChar w:fldCharType="separate"/>
      </w:r>
      <w:r>
        <w:rPr>
          <w:rFonts w:hint="eastAsia" w:ascii="Times New Roman" w:hAnsi="Times New Roman"/>
          <w:b w:val="0"/>
          <w:highlight w:val="none"/>
        </w:rPr>
        <w:t>JC</w:t>
      </w:r>
      <w:r>
        <w:rPr>
          <w:rFonts w:ascii="Times New Roman" w:hAnsi="Times New Roman"/>
          <w:b w:val="0"/>
          <w:highlight w:val="none"/>
        </w:rPr>
        <w:fldChar w:fldCharType="end"/>
      </w:r>
      <w:bookmarkEnd w:id="1"/>
    </w:p>
    <w:p w14:paraId="755D0BB2">
      <w:pPr>
        <w:pStyle w:val="30"/>
        <w:framePr w:wrap="around"/>
        <w:rPr>
          <w:rFonts w:ascii="Times New Roman" w:hAnsi="Times New Roman"/>
          <w:highlight w:val="none"/>
        </w:rPr>
      </w:pPr>
      <w:r>
        <w:rPr>
          <w:rFonts w:hint="eastAsia" w:ascii="Times New Roman" w:hAnsi="Times New Roman"/>
          <w:highlight w:val="none"/>
        </w:rPr>
        <w:t>中华人民共和国</w:t>
      </w:r>
      <w:bookmarkStart w:id="2" w:name="c2"/>
      <w:r>
        <w:rPr>
          <w:rFonts w:ascii="Times New Roman" w:hAnsi="Times New Roman"/>
          <w:highlight w:val="none"/>
        </w:rPr>
        <w:fldChar w:fldCharType="begin">
          <w:ffData>
            <w:name w:val="c2"/>
            <w:enabled/>
            <w:calcOnExit w:val="0"/>
            <w:entryMacro w:val="showhelp11"/>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hint="eastAsia" w:ascii="Times New Roman" w:hAnsi="Times New Roman"/>
          <w:highlight w:val="none"/>
        </w:rPr>
        <w:t>建材</w:t>
      </w:r>
      <w:r>
        <w:rPr>
          <w:rFonts w:ascii="Times New Roman" w:hAnsi="Times New Roman"/>
          <w:highlight w:val="none"/>
        </w:rPr>
        <w:fldChar w:fldCharType="end"/>
      </w:r>
      <w:bookmarkEnd w:id="2"/>
      <w:r>
        <w:rPr>
          <w:rFonts w:hint="eastAsia" w:ascii="Times New Roman" w:hAnsi="Times New Roman"/>
          <w:highlight w:val="none"/>
        </w:rPr>
        <w:t>行业标准</w:t>
      </w:r>
    </w:p>
    <w:p w14:paraId="4FCDBC10">
      <w:pPr>
        <w:pStyle w:val="31"/>
        <w:framePr w:wrap="around"/>
        <w:rPr>
          <w:rFonts w:ascii="Times New Roman" w:hAnsi="Times New Roman"/>
          <w:highlight w:val="none"/>
        </w:rPr>
      </w:pPr>
      <w:bookmarkStart w:id="3" w:name="StdNo0"/>
      <w:r>
        <w:rPr>
          <w:rFonts w:ascii="Times New Roman" w:hAnsi="Times New Roman"/>
          <w:highlight w:val="none"/>
        </w:rPr>
        <w:fldChar w:fldCharType="begin">
          <w:ffData>
            <w:name w:val="StdNo0"/>
            <w:enabled/>
            <w:calcOnExit w:val="0"/>
            <w:textInput>
              <w:default w:val="XX"/>
              <w:maxLength w:val="2"/>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hint="eastAsia" w:ascii="Times New Roman" w:hAnsi="Times New Roman"/>
          <w:highlight w:val="none"/>
        </w:rPr>
        <w:t>JC</w:t>
      </w:r>
      <w:r>
        <w:rPr>
          <w:rFonts w:ascii="Times New Roman" w:hAnsi="Times New Roman"/>
          <w:highlight w:val="none"/>
        </w:rPr>
        <w:fldChar w:fldCharType="end"/>
      </w:r>
      <w:bookmarkEnd w:id="3"/>
      <w:r>
        <w:rPr>
          <w:rFonts w:ascii="Times New Roman" w:hAnsi="Times New Roman"/>
          <w:highlight w:val="none"/>
        </w:rPr>
        <w:t xml:space="preserve">/T </w:t>
      </w:r>
      <w:bookmarkStart w:id="4" w:name="StdNo1"/>
      <w:r>
        <w:rPr>
          <w:rFonts w:ascii="Times New Roman" w:hAnsi="Times New Roman"/>
          <w:highlight w:val="none"/>
        </w:rPr>
        <w:fldChar w:fldCharType="begin">
          <w:ffData>
            <w:name w:val="StdNo1"/>
            <w:enabled/>
            <w:calcOnExit w:val="0"/>
            <w:textInput>
              <w:default w:val="XXXXX"/>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XXXXX</w:t>
      </w:r>
      <w:r>
        <w:rPr>
          <w:rFonts w:ascii="Times New Roman" w:hAnsi="Times New Roman"/>
          <w:highlight w:val="none"/>
        </w:rPr>
        <w:fldChar w:fldCharType="end"/>
      </w:r>
      <w:bookmarkEnd w:id="4"/>
      <w:r>
        <w:rPr>
          <w:rFonts w:ascii="Times New Roman" w:hAnsi="Times New Roman"/>
          <w:highlight w:val="none"/>
        </w:rPr>
        <w:t>—</w:t>
      </w:r>
      <w:bookmarkStart w:id="5" w:name="StdNo2"/>
      <w:r>
        <w:rPr>
          <w:rFonts w:ascii="Times New Roman" w:hAnsi="Times New Roman"/>
          <w:highlight w:val="none"/>
        </w:rPr>
        <w:fldChar w:fldCharType="begin">
          <w:ffData>
            <w:name w:val="StdNo2"/>
            <w:enabled/>
            <w:calcOnExit w:val="0"/>
            <w:textInput>
              <w:default w:val="XXXX"/>
              <w:maxLength w:val="4"/>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XXXX</w:t>
      </w:r>
      <w:r>
        <w:rPr>
          <w:rFonts w:ascii="Times New Roman" w:hAnsi="Times New Roman"/>
          <w:highlight w:val="none"/>
        </w:rPr>
        <w:fldChar w:fldCharType="end"/>
      </w:r>
      <w:bookmarkEnd w:id="5"/>
    </w:p>
    <w:tbl>
      <w:tblPr>
        <w:tblStyle w:val="2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3D2FC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7794DB5C">
            <w:pPr>
              <w:pStyle w:val="32"/>
              <w:framePr w:wrap="around"/>
              <w:ind w:right="210"/>
              <w:rPr>
                <w:rFonts w:ascii="Times New Roman" w:hAnsi="Times New Roman"/>
                <w:highlight w:val="none"/>
              </w:rPr>
            </w:pPr>
          </w:p>
        </w:tc>
      </w:tr>
    </w:tbl>
    <w:p w14:paraId="66BA5C2B">
      <w:pPr>
        <w:pStyle w:val="31"/>
        <w:framePr w:wrap="around"/>
        <w:rPr>
          <w:rFonts w:ascii="Times New Roman" w:hAnsi="Times New Roman"/>
          <w:highlight w:val="none"/>
        </w:rPr>
      </w:pPr>
    </w:p>
    <w:p w14:paraId="34256A35">
      <w:pPr>
        <w:pStyle w:val="31"/>
        <w:framePr w:wrap="around"/>
        <w:rPr>
          <w:rFonts w:ascii="Times New Roman" w:hAnsi="Times New Roman"/>
          <w:highlight w:val="none"/>
        </w:rPr>
      </w:pPr>
    </w:p>
    <w:p w14:paraId="0518FF5D">
      <w:pPr>
        <w:pStyle w:val="33"/>
        <w:framePr w:w="9293" w:wrap="around" w:x="1699"/>
        <w:rPr>
          <w:rFonts w:hint="eastAsia" w:ascii="Times New Roman" w:hAnsi="Times New Roman" w:cs="Times New Roman"/>
          <w:highlight w:val="none"/>
          <w:lang w:val="en-US" w:eastAsia="zh-CN"/>
        </w:rPr>
      </w:pPr>
      <w:r>
        <w:rPr>
          <w:rFonts w:hint="eastAsia" w:ascii="Times New Roman" w:hAnsi="Times New Roman"/>
          <w:highlight w:val="none"/>
        </w:rPr>
        <w:t>花岗岩石粉</w:t>
      </w:r>
      <w:r>
        <w:rPr>
          <w:rFonts w:hint="eastAsia" w:ascii="Times New Roman" w:hAnsi="Times New Roman"/>
          <w:highlight w:val="none"/>
          <w:lang w:val="en-US" w:eastAsia="zh-CN"/>
        </w:rPr>
        <w:t>在</w:t>
      </w:r>
      <w:r>
        <w:rPr>
          <w:rFonts w:hint="eastAsia" w:ascii="Times New Roman" w:hAnsi="Times New Roman"/>
          <w:highlight w:val="none"/>
          <w:lang w:eastAsia="zh-CN"/>
        </w:rPr>
        <w:t>混凝土</w:t>
      </w:r>
      <w:r>
        <w:rPr>
          <w:rFonts w:hint="eastAsia" w:ascii="Times New Roman" w:hAnsi="Times New Roman"/>
          <w:highlight w:val="none"/>
          <w:lang w:val="en-US" w:eastAsia="zh-CN"/>
        </w:rPr>
        <w:t>中应用技术规范</w:t>
      </w:r>
    </w:p>
    <w:p w14:paraId="16B29228">
      <w:pPr>
        <w:pStyle w:val="33"/>
        <w:framePr w:w="9293" w:wrap="around" w:x="1699"/>
        <w:rPr>
          <w:rFonts w:ascii="Times New Roman" w:hAnsi="Times New Roman"/>
          <w:highlight w:val="none"/>
        </w:rPr>
      </w:pPr>
      <w:r>
        <w:rPr>
          <w:rFonts w:hint="eastAsia" w:ascii="Times New Roman" w:hAnsi="Times New Roman"/>
          <w:highlight w:val="none"/>
        </w:rPr>
        <w:t>（草案）</w:t>
      </w:r>
    </w:p>
    <w:tbl>
      <w:tblPr>
        <w:tblStyle w:val="22"/>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31AC1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BEEDE43">
            <w:pPr>
              <w:pStyle w:val="36"/>
              <w:framePr w:w="9293" w:wrap="around" w:x="1699"/>
              <w:rPr>
                <w:rFonts w:ascii="Times New Roman" w:hAnsi="Times New Roman" w:eastAsia="黑体"/>
                <w:sz w:val="28"/>
                <w:highlight w:val="none"/>
              </w:rPr>
            </w:pPr>
            <w:r>
              <w:rPr>
                <w:rFonts w:hint="eastAsia" w:ascii="Times New Roman" w:hAnsi="Times New Roman" w:eastAsia="微软雅黑"/>
                <w:color w:val="333333"/>
                <w:sz w:val="36"/>
                <w:szCs w:val="36"/>
                <w:highlight w:val="none"/>
              </w:rPr>
              <w:t xml:space="preserve">Technical </w:t>
            </w:r>
            <w:r>
              <w:rPr>
                <w:rFonts w:hint="eastAsia" w:ascii="Times New Roman" w:hAnsi="Times New Roman" w:eastAsia="微软雅黑"/>
                <w:color w:val="333333"/>
                <w:sz w:val="36"/>
                <w:szCs w:val="36"/>
                <w:highlight w:val="none"/>
                <w:lang w:val="en-US" w:eastAsia="zh-CN"/>
              </w:rPr>
              <w:t>code</w:t>
            </w:r>
            <w:r>
              <w:rPr>
                <w:rFonts w:hint="eastAsia" w:ascii="Times New Roman" w:hAnsi="Times New Roman" w:eastAsia="微软雅黑"/>
                <w:color w:val="333333"/>
                <w:sz w:val="36"/>
                <w:szCs w:val="36"/>
                <w:highlight w:val="none"/>
              </w:rPr>
              <w:t xml:space="preserve"> for application of granite powder in concrete</w:t>
            </w:r>
            <w:r>
              <w:rPr>
                <w:rFonts w:ascii="Times New Roman" w:hAnsi="Times New Roman" w:eastAsia="黑体"/>
                <w:sz w:val="28"/>
                <w:highlight w:val="none"/>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44852208"/>
                              </w:txbxContent>
                            </wps:txbx>
                            <wps:bodyPr upright="1"/>
                          </wps:wsp>
                        </a:graphicData>
                      </a:graphic>
                    </wp:anchor>
                  </w:drawing>
                </mc:Choice>
                <mc:Fallback>
                  <w:pict>
                    <v:rect id="RQ" o:spid="_x0000_s1026" o:spt="1" style="position:absolute;left:0pt;margin-left:173.3pt;margin-top:337.15pt;height:20pt;width:150pt;z-index:-251654144;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44852208"/>
                        </w:txbxContent>
                      </v:textbox>
                      <w10:anchorlock/>
                    </v:rect>
                  </w:pict>
                </mc:Fallback>
              </mc:AlternateContent>
            </w:r>
          </w:p>
        </w:tc>
      </w:tr>
      <w:tr w14:paraId="09186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D139AE7">
            <w:pPr>
              <w:pStyle w:val="37"/>
              <w:framePr w:w="9293" w:wrap="around" w:x="1699"/>
              <w:rPr>
                <w:rFonts w:ascii="Times New Roman" w:hAnsi="Times New Roman"/>
                <w:highlight w:val="none"/>
              </w:rPr>
            </w:pPr>
          </w:p>
        </w:tc>
      </w:tr>
    </w:tbl>
    <w:p w14:paraId="505C74BB">
      <w:pPr>
        <w:pStyle w:val="38"/>
        <w:framePr w:wrap="around" w:hAnchor="page" w:x="1741" w:y="14041"/>
        <w:rPr>
          <w:rFonts w:ascii="Times New Roman" w:hAnsi="Times New Roman"/>
          <w:highlight w:val="none"/>
        </w:rPr>
      </w:pPr>
      <w:bookmarkStart w:id="6" w:name="FY"/>
      <w:r>
        <w:rPr>
          <w:rFonts w:ascii="Times New Roman" w:hAnsi="Times New Roman"/>
          <w:highlight w:val="none"/>
        </w:rPr>
        <w:fldChar w:fldCharType="begin">
          <w:ffData>
            <w:name w:val="FY"/>
            <w:enabled/>
            <w:calcOnExit w:val="0"/>
            <w:entryMacro w:val="ShowHelp8"/>
            <w:textInput>
              <w:default w:val="XXXX"/>
              <w:maxLength w:val="4"/>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XXXX</w:t>
      </w:r>
      <w:r>
        <w:rPr>
          <w:rFonts w:ascii="Times New Roman" w:hAnsi="Times New Roman"/>
          <w:highlight w:val="none"/>
        </w:rPr>
        <w:fldChar w:fldCharType="end"/>
      </w:r>
      <w:bookmarkEnd w:id="6"/>
      <w:r>
        <w:rPr>
          <w:rFonts w:ascii="Times New Roman" w:hAnsi="Times New Roman"/>
          <w:highlight w:val="none"/>
        </w:rPr>
        <w:t>-</w:t>
      </w:r>
      <w:r>
        <w:rPr>
          <w:rFonts w:ascii="Times New Roman" w:hAnsi="Times New Roman"/>
          <w:highlight w:val="none"/>
        </w:rPr>
        <w:fldChar w:fldCharType="begin">
          <w:ffData>
            <w:name w:val="FM"/>
            <w:enabled/>
            <w:calcOnExit w:val="0"/>
            <w:entryMacro w:val="ShowHelp8"/>
            <w:textInput>
              <w:default w:val="XX"/>
              <w:maxLength w:val="2"/>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w:t>
      </w:r>
      <w:r>
        <w:rPr>
          <w:rFonts w:ascii="Times New Roman" w:hAnsi="Times New Roman"/>
          <w:highlight w:val="none"/>
        </w:rPr>
        <w:fldChar w:fldCharType="end"/>
      </w:r>
      <w:r>
        <w:rPr>
          <w:rFonts w:ascii="Times New Roman" w:hAnsi="Times New Roman"/>
          <w:highlight w:val="none"/>
        </w:rPr>
        <w:t>-</w:t>
      </w:r>
      <w:bookmarkStart w:id="7" w:name="FD"/>
      <w:r>
        <w:rPr>
          <w:rFonts w:ascii="Times New Roman" w:hAnsi="Times New Roman"/>
          <w:highlight w:val="none"/>
        </w:rPr>
        <w:fldChar w:fldCharType="begin">
          <w:ffData>
            <w:name w:val="FD"/>
            <w:enabled/>
            <w:calcOnExit w:val="0"/>
            <w:entryMacro w:val="ShowHelp8"/>
            <w:textInput>
              <w:default w:val="XX"/>
              <w:maxLength w:val="2"/>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w:t>
      </w:r>
      <w:r>
        <w:rPr>
          <w:rFonts w:ascii="Times New Roman" w:hAnsi="Times New Roman"/>
          <w:highlight w:val="none"/>
        </w:rPr>
        <w:fldChar w:fldCharType="end"/>
      </w:r>
      <w:bookmarkEnd w:id="7"/>
      <w:r>
        <w:rPr>
          <w:rFonts w:hint="eastAsia" w:ascii="Times New Roman" w:hAnsi="Times New Roman"/>
          <w:highlight w:val="none"/>
        </w:rPr>
        <w:t>发布</w:t>
      </w:r>
    </w:p>
    <w:p w14:paraId="1B2FFF10">
      <w:pPr>
        <w:pStyle w:val="40"/>
        <w:framePr w:wrap="around" w:hAnchor="page" w:x="7096" w:y="14176"/>
        <w:rPr>
          <w:rFonts w:ascii="Times New Roman" w:hAnsi="Times New Roman"/>
          <w:highlight w:val="none"/>
        </w:rPr>
      </w:pPr>
      <w:bookmarkStart w:id="8" w:name="SY"/>
      <w:r>
        <w:rPr>
          <w:rFonts w:ascii="Times New Roman" w:hAnsi="Times New Roman"/>
          <w:highlight w:val="none"/>
        </w:rPr>
        <w:fldChar w:fldCharType="begin">
          <w:ffData>
            <w:name w:val="SY"/>
            <w:enabled/>
            <w:calcOnExit w:val="0"/>
            <w:entryMacro w:val="ShowHelp9"/>
            <w:textInput>
              <w:default w:val="XXXX"/>
              <w:maxLength w:val="4"/>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XXXX</w:t>
      </w:r>
      <w:r>
        <w:rPr>
          <w:rFonts w:ascii="Times New Roman" w:hAnsi="Times New Roman"/>
          <w:highlight w:val="none"/>
        </w:rPr>
        <w:fldChar w:fldCharType="end"/>
      </w:r>
      <w:bookmarkEnd w:id="8"/>
      <w:r>
        <w:rPr>
          <w:rFonts w:ascii="Times New Roman" w:hAnsi="Times New Roman"/>
          <w:highlight w:val="none"/>
        </w:rPr>
        <w:t>-</w:t>
      </w:r>
      <w:bookmarkStart w:id="9" w:name="SM"/>
      <w:r>
        <w:rPr>
          <w:rFonts w:ascii="Times New Roman" w:hAnsi="Times New Roman"/>
          <w:highlight w:val="none"/>
        </w:rPr>
        <w:fldChar w:fldCharType="begin">
          <w:ffData>
            <w:name w:val="SM"/>
            <w:enabled/>
            <w:calcOnExit w:val="0"/>
            <w:entryMacro w:val="ShowHelp9"/>
            <w:textInput>
              <w:default w:val="XX"/>
              <w:maxLength w:val="2"/>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w:t>
      </w:r>
      <w:r>
        <w:rPr>
          <w:rFonts w:ascii="Times New Roman" w:hAnsi="Times New Roman"/>
          <w:highlight w:val="none"/>
        </w:rPr>
        <w:fldChar w:fldCharType="end"/>
      </w:r>
      <w:bookmarkEnd w:id="9"/>
      <w:r>
        <w:rPr>
          <w:rFonts w:ascii="Times New Roman" w:hAnsi="Times New Roman"/>
          <w:highlight w:val="none"/>
        </w:rPr>
        <w:t>-</w:t>
      </w:r>
      <w:bookmarkStart w:id="10" w:name="SD"/>
      <w:r>
        <w:rPr>
          <w:rFonts w:ascii="Times New Roman" w:hAnsi="Times New Roman"/>
          <w:highlight w:val="none"/>
        </w:rPr>
        <w:fldChar w:fldCharType="begin">
          <w:ffData>
            <w:name w:val="SD"/>
            <w:enabled/>
            <w:calcOnExit w:val="0"/>
            <w:entryMacro w:val="ShowHelp9"/>
            <w:textInput>
              <w:default w:val="XX"/>
              <w:maxLength w:val="2"/>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ascii="Times New Roman" w:hAnsi="Times New Roman"/>
          <w:highlight w:val="none"/>
        </w:rPr>
        <w:t>XX</w:t>
      </w:r>
      <w:r>
        <w:rPr>
          <w:rFonts w:ascii="Times New Roman" w:hAnsi="Times New Roman"/>
          <w:highlight w:val="none"/>
        </w:rPr>
        <w:fldChar w:fldCharType="end"/>
      </w:r>
      <w:bookmarkEnd w:id="10"/>
      <w:r>
        <w:rPr>
          <w:rFonts w:hint="eastAsia" w:ascii="Times New Roman" w:hAnsi="Times New Roman"/>
          <w:highlight w:val="none"/>
        </w:rPr>
        <w:t>实施</w:t>
      </w:r>
    </w:p>
    <w:p w14:paraId="2A62F45B">
      <w:pPr>
        <w:pStyle w:val="42"/>
        <w:framePr w:wrap="around" w:x="2186" w:y="15211"/>
        <w:rPr>
          <w:rFonts w:ascii="Times New Roman" w:hAnsi="Times New Roman"/>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Borders>
            <w:top w:val="none" w:sz="0" w:space="0"/>
            <w:left w:val="none" w:sz="0" w:space="0"/>
            <w:bottom w:val="none" w:sz="0" w:space="0"/>
            <w:right w:val="none" w:sz="0" w:space="0"/>
          </w:pgBorders>
          <w:pgNumType w:fmt="upperRoman" w:start="1"/>
          <w:cols w:space="720" w:num="1"/>
          <w:docGrid w:type="lines" w:linePitch="312" w:charSpace="0"/>
        </w:sectPr>
      </w:pPr>
      <w:bookmarkStart w:id="11" w:name="fm"/>
      <w:r>
        <w:rPr>
          <w:rFonts w:ascii="Times New Roman" w:hAnsi="Times New Roman"/>
          <w:highlight w:val="none"/>
        </w:rPr>
        <mc:AlternateContent>
          <mc:Choice Requires="wps">
            <w:drawing>
              <wp:anchor distT="0" distB="0" distL="114300" distR="114300" simplePos="0" relativeHeight="251661312"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512B6B85"/>
                        </w:txbxContent>
                      </wps:txbx>
                      <wps:bodyPr upright="1"/>
                    </wps:wsp>
                  </a:graphicData>
                </a:graphic>
              </wp:anchor>
            </w:drawing>
          </mc:Choice>
          <mc:Fallback>
            <w:pict>
              <v:rect id="LB" o:spid="_x0000_s1026" o:spt="1" style="position:absolute;left:0pt;margin-left:142.55pt;margin-top:-310.45pt;height:24pt;width:100pt;z-index:-251655168;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512B6B85"/>
                  </w:txbxContent>
                </v:textbox>
              </v:rect>
            </w:pict>
          </mc:Fallback>
        </mc:AlternateContent>
      </w:r>
      <w:r>
        <w:rPr>
          <w:rFonts w:ascii="Times New Roman" w:hAnsi="Times New Roman"/>
          <w:highlight w:val="none"/>
        </w:rP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301E4DCC"/>
                        </w:txbxContent>
                      </wps:txbx>
                      <wps:bodyPr upright="1"/>
                    </wps:wsp>
                  </a:graphicData>
                </a:graphic>
              </wp:anchor>
            </w:drawing>
          </mc:Choice>
          <mc:Fallback>
            <w:pict>
              <v:rect id="DT"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301E4DCC"/>
                  </w:txbxContent>
                </v:textbox>
              </v:rect>
            </w:pict>
          </mc:Fallback>
        </mc:AlternateContent>
      </w:r>
      <w:r>
        <w:rPr>
          <w:rFonts w:ascii="Times New Roman" w:hAnsi="Times New Roman"/>
          <w:highlight w:val="none"/>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rPr>
          <w:rFonts w:ascii="Times New Roman" w:hAnsi="Times New Roman"/>
          <w:highlight w:val="none"/>
        </w:rPr>
        <w:fldChar w:fldCharType="begin">
          <w:ffData>
            <w:name w:val="fm"/>
            <w:enabled/>
            <w:calcOnExit w:val="0"/>
            <w:textInput/>
          </w:ffData>
        </w:fldChar>
      </w:r>
      <w:r>
        <w:rPr>
          <w:rFonts w:ascii="Times New Roman" w:hAnsi="Times New Roman"/>
          <w:highlight w:val="none"/>
        </w:rPr>
        <w:instrText xml:space="preserve"> FORMTEXT </w:instrText>
      </w:r>
      <w:r>
        <w:rPr>
          <w:rFonts w:ascii="Times New Roman" w:hAnsi="Times New Roman"/>
          <w:highlight w:val="none"/>
        </w:rPr>
        <w:fldChar w:fldCharType="separate"/>
      </w:r>
      <w:r>
        <w:rPr>
          <w:rFonts w:hint="eastAsia" w:ascii="Times New Roman" w:hAnsi="Times New Roman"/>
          <w:highlight w:val="none"/>
        </w:rPr>
        <w:t>中华人民共和国工业和信息化部</w:t>
      </w:r>
      <w:r>
        <w:rPr>
          <w:rFonts w:ascii="Times New Roman" w:hAnsi="Times New Roman"/>
          <w:highlight w:val="none"/>
        </w:rPr>
        <w:fldChar w:fldCharType="end"/>
      </w:r>
      <w:bookmarkEnd w:id="11"/>
      <w:r>
        <w:rPr>
          <w:rStyle w:val="45"/>
          <w:rFonts w:hint="eastAsia" w:ascii="Times New Roman" w:hAnsi="Times New Roman"/>
          <w:highlight w:val="none"/>
        </w:rPr>
        <w:t>发布</w:t>
      </w:r>
      <w:r>
        <w:rPr>
          <w:rFonts w:ascii="Times New Roman" w:hAnsi="Times New Roman"/>
          <w:highlight w:val="none"/>
        </w:rPr>
        <mc:AlternateContent>
          <mc:Choice Requires="wps">
            <w:drawing>
              <wp:anchor distT="0" distB="0" distL="114300" distR="114300" simplePos="0" relativeHeight="251665408"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5408;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5B8B390D">
      <w:pPr>
        <w:pStyle w:val="46"/>
        <w:tabs>
          <w:tab w:val="center" w:pos="4677"/>
          <w:tab w:val="left" w:pos="7092"/>
        </w:tabs>
        <w:jc w:val="center"/>
        <w:rPr>
          <w:rFonts w:ascii="Times New Roman" w:hAnsi="Times New Roman"/>
          <w:highlight w:val="none"/>
        </w:rPr>
      </w:pPr>
      <w:bookmarkStart w:id="12" w:name="_Toc31339"/>
      <w:bookmarkStart w:id="13" w:name="_Toc27080"/>
      <w:bookmarkStart w:id="14" w:name="_Toc19559"/>
      <w:bookmarkStart w:id="15" w:name="_Toc10950"/>
      <w:r>
        <w:rPr>
          <w:rFonts w:hint="eastAsia" w:ascii="Times New Roman" w:hAnsi="Times New Roman"/>
          <w:highlight w:val="none"/>
        </w:rPr>
        <w:t>目    次</w:t>
      </w:r>
      <w:bookmarkEnd w:id="12"/>
      <w:bookmarkEnd w:id="13"/>
      <w:bookmarkEnd w:id="14"/>
      <w:bookmarkEnd w:id="15"/>
    </w:p>
    <w:sdt>
      <w:sdtPr>
        <w:rPr>
          <w:rFonts w:ascii="宋体" w:hAnsi="宋体" w:eastAsia="宋体" w:cs="Times New Roman"/>
          <w:sz w:val="21"/>
          <w:szCs w:val="22"/>
          <w:lang w:val="en-US" w:eastAsia="zh-CN" w:bidi="ar-SA"/>
        </w:rPr>
        <w:id w:val="147479956"/>
        <w15:color w:val="DBDBDB"/>
        <w:docPartObj>
          <w:docPartGallery w:val="Table of Contents"/>
          <w:docPartUnique/>
        </w:docPartObj>
      </w:sdtPr>
      <w:sdtEndPr>
        <w:rPr>
          <w:b/>
        </w:rPr>
      </w:sdtEndPr>
      <w:sdtContent>
        <w:p w14:paraId="0C894067">
          <w:pPr>
            <w:spacing w:before="0" w:beforeLines="0" w:after="0" w:afterLines="0" w:line="240" w:lineRule="auto"/>
            <w:ind w:left="0" w:leftChars="0" w:right="0" w:rightChars="0" w:firstLine="0" w:firstLineChars="0"/>
            <w:jc w:val="center"/>
            <w:rPr>
              <w:b/>
            </w:rPr>
          </w:pPr>
          <w:bookmarkStart w:id="16" w:name="_Toc9574"/>
          <w:bookmarkStart w:id="17" w:name="_Toc12050"/>
          <w:bookmarkStart w:id="18" w:name="_Toc4195"/>
          <w:r>
            <w:fldChar w:fldCharType="begin"/>
          </w:r>
          <w:r>
            <w:instrText xml:space="preserve">TOC \o "1-2" \h \u </w:instrText>
          </w:r>
          <w:r>
            <w:fldChar w:fldCharType="separate"/>
          </w:r>
        </w:p>
        <w:p w14:paraId="027270F3">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_Toc11548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1　</w:t>
          </w:r>
          <w:r>
            <w:rPr>
              <w:rFonts w:hint="default" w:ascii="Times New Roman" w:hAnsi="Times New Roman" w:eastAsia="宋体" w:cs="Times New Roman"/>
              <w:b/>
              <w:sz w:val="24"/>
              <w:szCs w:val="24"/>
              <w:highlight w:val="none"/>
              <w:lang w:val="en-US" w:eastAsia="zh-CN" w:bidi="ar-SA"/>
            </w:rPr>
            <w:t>总  则</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_Toc11548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1</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1CBC2AB4">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_Toc25666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2　术  语</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_Toc25666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2</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03180A52">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_Toc30095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3  原材料</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_Toc30095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3</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65710C13">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_Toc7639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3.1　</w:t>
          </w:r>
          <w:r>
            <w:rPr>
              <w:rFonts w:hint="default" w:ascii="Times New Roman" w:hAnsi="Times New Roman" w:eastAsia="宋体" w:cs="Times New Roman"/>
              <w:bCs/>
              <w:sz w:val="24"/>
              <w:szCs w:val="24"/>
              <w:highlight w:val="none"/>
              <w:lang w:val="en-US" w:eastAsia="zh-CN"/>
            </w:rPr>
            <w:t>花岗岩石粉</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_Toc7639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74A6B9A3">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_Toc8229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3.2 混凝土其他原材料</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_Toc8229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27907984">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_Toc31035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4　混凝土性能</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_Toc31035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5</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63C4C2FD">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_Toc6571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4.1　拌合物性能</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_Toc6571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4FB04C85">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_Toc4658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4.2　力学性能</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_Toc4658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04644472">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_Toc17477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4.3　长期性能与耐久性能</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_Toc17477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0000BA35">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_Toc8074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5　配合比设计</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_Toc8074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7</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29D41DBD">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_Toc11251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6　施  工</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_Toc11251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9</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29C60569">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_Toc5116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6.1　一般规定</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_Toc5116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61C5C630">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_Toc15428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6.2　原材料贮存与计量</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_Toc15428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762C4C63">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_Toc18867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6.3　搅拌与运输</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_Toc18867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71427D90">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_Toc22592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6.4　浇筑</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_Toc22592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37190008">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_Toc27382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6.5　养护</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_Toc27382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60C10E4D">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_Toc3826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sz w:val="24"/>
              <w:szCs w:val="24"/>
              <w:highlight w:val="none"/>
              <w:lang w:val="en-US" w:eastAsia="zh-CN" w:bidi="ar-SA"/>
            </w:rPr>
            <w:t>7  质量检验</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_Toc3826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12</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2B0DCB73">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_Toc2330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7.1　原材料质量检验</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_Toc2330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7BBE90B7">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_Toc14589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7.2  混凝土拌合物性能检验</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_Toc14589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2C3DF901">
          <w:pPr>
            <w:pStyle w:val="83"/>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_Toc7220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bCs/>
              <w:i w:val="0"/>
              <w:iCs w:val="0"/>
              <w:caps w:val="0"/>
              <w:strike w:val="0"/>
              <w:dstrike w:val="0"/>
              <w:vanish w:val="0"/>
              <w:spacing w:val="0"/>
              <w:kern w:val="0"/>
              <w:position w:val="0"/>
              <w:sz w:val="24"/>
              <w:szCs w:val="24"/>
              <w:highlight w:val="none"/>
              <w:vertAlign w:val="baseline"/>
              <w:lang w:val="en-US" w:eastAsia="zh-CN" w:bidi="ar-SA"/>
            </w:rPr>
            <w:t>7.3　硬化混凝土性能检验</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_Toc7220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14:paraId="32AD1C7D">
          <w:pPr>
            <w:pStyle w:val="82"/>
            <w:keepNext w:val="0"/>
            <w:keepLines w:val="0"/>
            <w:pageBreakBefore w:val="0"/>
            <w:widowControl/>
            <w:tabs>
              <w:tab w:val="right" w:leader="dot" w:pos="9354"/>
            </w:tabs>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HYPERLINK \l _Toc28702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i w:val="0"/>
              <w:kern w:val="0"/>
              <w:sz w:val="24"/>
              <w:szCs w:val="24"/>
              <w:highlight w:val="none"/>
              <w:lang w:val="en-US" w:eastAsia="zh-CN" w:bidi="ar-SA"/>
            </w:rPr>
            <w:t>附　录　A</w:t>
          </w:r>
          <w:r>
            <w:rPr>
              <w:rFonts w:hint="eastAsia" w:ascii="Times New Roman" w:hAnsi="Times New Roman" w:eastAsia="宋体" w:cs="Times New Roman"/>
              <w:b/>
              <w:i w:val="0"/>
              <w:kern w:val="0"/>
              <w:sz w:val="24"/>
              <w:szCs w:val="24"/>
              <w:highlight w:val="none"/>
              <w:lang w:val="en-US" w:eastAsia="zh-CN" w:bidi="ar-SA"/>
            </w:rPr>
            <w:t xml:space="preserve"> 花岗岩石粉亚甲蓝值试验方法</w:t>
          </w:r>
          <w:r>
            <w:rPr>
              <w:rFonts w:hint="default" w:ascii="Times New Roman" w:hAnsi="Times New Roman" w:eastAsia="宋体" w:cs="Times New Roman"/>
              <w:b/>
              <w:sz w:val="24"/>
              <w:szCs w:val="24"/>
            </w:rPr>
            <w:tab/>
          </w:r>
          <w:r>
            <w:rPr>
              <w:rFonts w:hint="default" w:ascii="Times New Roman" w:hAnsi="Times New Roman" w:eastAsia="宋体" w:cs="Times New Roman"/>
              <w:b/>
              <w:sz w:val="24"/>
              <w:szCs w:val="24"/>
            </w:rPr>
            <w:fldChar w:fldCharType="begin"/>
          </w:r>
          <w:r>
            <w:rPr>
              <w:rFonts w:hint="default" w:ascii="Times New Roman" w:hAnsi="Times New Roman" w:eastAsia="宋体" w:cs="Times New Roman"/>
              <w:b/>
              <w:sz w:val="24"/>
              <w:szCs w:val="24"/>
            </w:rPr>
            <w:instrText xml:space="preserve"> PAGEREF _Toc28702 \h </w:instrText>
          </w:r>
          <w:r>
            <w:rPr>
              <w:rFonts w:hint="default" w:ascii="Times New Roman" w:hAnsi="Times New Roman" w:eastAsia="宋体" w:cs="Times New Roman"/>
              <w:b/>
              <w:sz w:val="24"/>
              <w:szCs w:val="24"/>
            </w:rPr>
            <w:fldChar w:fldCharType="separate"/>
          </w:r>
          <w:r>
            <w:rPr>
              <w:rFonts w:hint="default" w:ascii="Times New Roman" w:hAnsi="Times New Roman" w:eastAsia="宋体" w:cs="Times New Roman"/>
              <w:b/>
              <w:sz w:val="24"/>
              <w:szCs w:val="24"/>
            </w:rPr>
            <w:t>14</w:t>
          </w:r>
          <w:r>
            <w:rPr>
              <w:rFonts w:hint="default" w:ascii="Times New Roman" w:hAnsi="Times New Roman" w:eastAsia="宋体" w:cs="Times New Roman"/>
              <w:b/>
              <w:sz w:val="24"/>
              <w:szCs w:val="24"/>
            </w:rPr>
            <w:fldChar w:fldCharType="end"/>
          </w:r>
          <w:r>
            <w:rPr>
              <w:rFonts w:hint="default" w:ascii="Times New Roman" w:hAnsi="Times New Roman" w:eastAsia="宋体" w:cs="Times New Roman"/>
              <w:b/>
              <w:sz w:val="24"/>
              <w:szCs w:val="24"/>
            </w:rPr>
            <w:fldChar w:fldCharType="end"/>
          </w:r>
        </w:p>
        <w:p w14:paraId="36F495D9">
          <w:pPr>
            <w:rPr>
              <w:b/>
            </w:rPr>
          </w:pPr>
          <w:r>
            <w:rPr>
              <w:b/>
            </w:rPr>
            <w:fldChar w:fldCharType="end"/>
          </w:r>
        </w:p>
      </w:sdtContent>
    </w:sdt>
    <w:p w14:paraId="46830C0F">
      <w:pPr>
        <w:rPr>
          <w:b/>
        </w:rPr>
      </w:pPr>
    </w:p>
    <w:p w14:paraId="36F98AED">
      <w:pPr>
        <w:pStyle w:val="46"/>
        <w:tabs>
          <w:tab w:val="center" w:pos="4677"/>
          <w:tab w:val="left" w:pos="7092"/>
        </w:tabs>
        <w:jc w:val="center"/>
        <w:rPr>
          <w:rFonts w:ascii="Times New Roman" w:hAnsi="Times New Roman"/>
          <w:highlight w:val="none"/>
        </w:rPr>
      </w:pPr>
      <w:bookmarkStart w:id="19" w:name="_Toc4638"/>
      <w:r>
        <w:rPr>
          <w:rFonts w:hint="eastAsia" w:ascii="Times New Roman" w:hAnsi="Times New Roman"/>
          <w:highlight w:val="none"/>
        </w:rPr>
        <w:t>前</w:t>
      </w:r>
      <w:bookmarkStart w:id="20" w:name="BKQY"/>
      <w:r>
        <w:rPr>
          <w:rFonts w:ascii="Times New Roman" w:hAnsi="Times New Roman"/>
          <w:highlight w:val="none"/>
        </w:rPr>
        <w:t>  </w:t>
      </w:r>
      <w:r>
        <w:rPr>
          <w:rFonts w:hint="eastAsia" w:ascii="Times New Roman" w:hAnsi="Times New Roman"/>
          <w:highlight w:val="none"/>
        </w:rPr>
        <w:t>言</w:t>
      </w:r>
      <w:bookmarkEnd w:id="16"/>
      <w:bookmarkEnd w:id="17"/>
      <w:bookmarkEnd w:id="18"/>
      <w:bookmarkEnd w:id="19"/>
      <w:bookmarkEnd w:id="20"/>
    </w:p>
    <w:p w14:paraId="1A0CA7AF">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根据《工业和信息化部办公厅关于印发2023年第三批行业标准制修订和外文版项目计划的通知》（工信厅科函〔</w:t>
      </w:r>
      <w:r>
        <w:rPr>
          <w:rFonts w:hint="eastAsia" w:cs="宋体"/>
          <w:sz w:val="24"/>
          <w:highlight w:val="none"/>
        </w:rPr>
        <w:t>202</w:t>
      </w:r>
      <w:r>
        <w:rPr>
          <w:rFonts w:hint="eastAsia" w:cs="宋体"/>
          <w:sz w:val="24"/>
          <w:highlight w:val="none"/>
          <w:lang w:val="en-US" w:eastAsia="zh-CN"/>
        </w:rPr>
        <w:t>3〕291</w:t>
      </w:r>
      <w:r>
        <w:rPr>
          <w:rFonts w:hint="eastAsia" w:cs="宋体"/>
          <w:sz w:val="24"/>
          <w:highlight w:val="none"/>
        </w:rPr>
        <w:t>号</w:t>
      </w:r>
      <w:r>
        <w:rPr>
          <w:rFonts w:hint="eastAsia" w:ascii="Times New Roman" w:hAnsi="Times New Roman"/>
          <w:sz w:val="24"/>
          <w:szCs w:val="24"/>
          <w:highlight w:val="none"/>
          <w:lang w:val="en-US" w:eastAsia="zh-CN"/>
        </w:rPr>
        <w:t>）的要求，本规范编制组经广泛调查研究，认真总结实践经验，参考国内和国际标准，并在广泛征求意见的基础上，制定本规范。</w:t>
      </w:r>
    </w:p>
    <w:p w14:paraId="32366693">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本规范共分为7章，主要技术内容包括：1. 总则；2. 术语；3. 原材料；4. 混凝土性能；5. 配合比设计；6. 施工；7. 质量检验。</w:t>
      </w:r>
    </w:p>
    <w:p w14:paraId="65103246">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本规范的某些内容可能直接或间接涉及专利，本规范的发布机构不承担识别这些专利的责任。</w:t>
      </w:r>
    </w:p>
    <w:p w14:paraId="49CE3AEC">
      <w:pPr>
        <w:keepNext w:val="0"/>
        <w:keepLines w:val="0"/>
        <w:pageBreakBefore w:val="0"/>
        <w:widowControl/>
        <w:kinsoku/>
        <w:wordWrap/>
        <w:overflowPunct/>
        <w:topLinePunct w:val="0"/>
        <w:autoSpaceDE/>
        <w:autoSpaceDN/>
        <w:bidi w:val="0"/>
        <w:adjustRightInd/>
        <w:snapToGrid/>
        <w:spacing w:line="400" w:lineRule="exact"/>
        <w:textAlignment w:val="auto"/>
        <w:rPr>
          <w:rFonts w:ascii="Times New Roman" w:hAnsi="Times New Roman"/>
          <w:sz w:val="24"/>
          <w:szCs w:val="24"/>
          <w:highlight w:val="none"/>
        </w:rPr>
      </w:pPr>
      <w:bookmarkStart w:id="21" w:name="OLE_LINK45"/>
      <w:r>
        <w:rPr>
          <w:rFonts w:hint="eastAsia" w:ascii="Times New Roman" w:hAnsi="Times New Roman"/>
          <w:sz w:val="24"/>
          <w:szCs w:val="24"/>
          <w:highlight w:val="none"/>
        </w:rPr>
        <w:t>本</w:t>
      </w:r>
      <w:r>
        <w:rPr>
          <w:rFonts w:hint="eastAsia" w:ascii="Times New Roman" w:hAnsi="Times New Roman"/>
          <w:sz w:val="24"/>
          <w:szCs w:val="24"/>
          <w:highlight w:val="none"/>
          <w:lang w:val="en-US" w:eastAsia="zh-CN"/>
        </w:rPr>
        <w:t>规范</w:t>
      </w:r>
      <w:r>
        <w:rPr>
          <w:rFonts w:hint="eastAsia" w:ascii="Times New Roman" w:hAnsi="Times New Roman"/>
          <w:sz w:val="24"/>
          <w:szCs w:val="24"/>
          <w:highlight w:val="none"/>
        </w:rPr>
        <w:t>由中国建筑材料联合会</w:t>
      </w:r>
      <w:r>
        <w:rPr>
          <w:rFonts w:hint="eastAsia" w:ascii="Times New Roman" w:hAnsi="Times New Roman"/>
          <w:sz w:val="24"/>
          <w:szCs w:val="24"/>
          <w:highlight w:val="none"/>
          <w:lang w:val="en-US" w:eastAsia="zh-CN"/>
        </w:rPr>
        <w:t>负责</w:t>
      </w:r>
      <w:r>
        <w:rPr>
          <w:rFonts w:hint="eastAsia" w:ascii="Times New Roman" w:hAnsi="Times New Roman"/>
          <w:sz w:val="24"/>
          <w:szCs w:val="24"/>
          <w:highlight w:val="none"/>
        </w:rPr>
        <w:t>管理</w:t>
      </w:r>
      <w:r>
        <w:rPr>
          <w:rFonts w:hint="eastAsia" w:ascii="Times New Roman" w:hAnsi="Times New Roman"/>
          <w:sz w:val="24"/>
          <w:szCs w:val="24"/>
          <w:highlight w:val="none"/>
          <w:lang w:eastAsia="zh-CN"/>
        </w:rPr>
        <w:t>，</w:t>
      </w:r>
      <w:r>
        <w:rPr>
          <w:rFonts w:hint="eastAsia" w:ascii="Times New Roman" w:hAnsi="Times New Roman"/>
          <w:sz w:val="24"/>
          <w:szCs w:val="24"/>
          <w:highlight w:val="none"/>
        </w:rPr>
        <w:t>由</w:t>
      </w:r>
      <w:r>
        <w:rPr>
          <w:rFonts w:hint="eastAsia" w:ascii="Times New Roman" w:hAnsi="Times New Roman"/>
          <w:sz w:val="24"/>
          <w:szCs w:val="24"/>
          <w:highlight w:val="none"/>
          <w:lang w:val="en-US" w:eastAsia="zh-CN"/>
        </w:rPr>
        <w:t>中国建筑科学研究院有限公司</w:t>
      </w:r>
      <w:r>
        <w:rPr>
          <w:rFonts w:hint="eastAsia" w:ascii="Times New Roman" w:hAnsi="Times New Roman"/>
          <w:sz w:val="24"/>
          <w:szCs w:val="24"/>
          <w:highlight w:val="none"/>
        </w:rPr>
        <w:t>负责具体技术内容的解释。执行过程中如有意见或建议，请寄送解释单位（地址：</w:t>
      </w:r>
      <w:r>
        <w:rPr>
          <w:rFonts w:hint="eastAsia" w:ascii="Times New Roman" w:hAnsi="Times New Roman"/>
          <w:sz w:val="24"/>
          <w:szCs w:val="24"/>
          <w:highlight w:val="none"/>
          <w:lang w:val="en-US" w:eastAsia="zh-CN"/>
        </w:rPr>
        <w:t>北京市朝阳区北三环东路30号</w:t>
      </w:r>
      <w:r>
        <w:rPr>
          <w:rFonts w:hint="eastAsia" w:ascii="Times New Roman" w:hAnsi="Times New Roman"/>
          <w:sz w:val="24"/>
          <w:szCs w:val="24"/>
          <w:highlight w:val="none"/>
        </w:rPr>
        <w:t>，邮编：</w:t>
      </w:r>
      <w:r>
        <w:rPr>
          <w:rFonts w:hint="eastAsia" w:ascii="Times New Roman" w:hAnsi="Times New Roman"/>
          <w:sz w:val="24"/>
          <w:szCs w:val="24"/>
          <w:highlight w:val="none"/>
          <w:lang w:val="en-US" w:eastAsia="zh-CN"/>
        </w:rPr>
        <w:t>100013</w:t>
      </w:r>
      <w:r>
        <w:rPr>
          <w:rFonts w:hint="eastAsia" w:ascii="Times New Roman" w:hAnsi="Times New Roman"/>
          <w:sz w:val="24"/>
          <w:szCs w:val="24"/>
          <w:highlight w:val="none"/>
        </w:rPr>
        <w:t>）。</w:t>
      </w:r>
      <w:bookmarkEnd w:id="21"/>
    </w:p>
    <w:p w14:paraId="48FE49AC">
      <w:pPr>
        <w:keepNext w:val="0"/>
        <w:keepLines w:val="0"/>
        <w:pageBreakBefore w:val="0"/>
        <w:widowControl/>
        <w:kinsoku/>
        <w:wordWrap/>
        <w:overflowPunct/>
        <w:topLinePunct w:val="0"/>
        <w:autoSpaceDE/>
        <w:autoSpaceDN/>
        <w:bidi w:val="0"/>
        <w:adjustRightInd/>
        <w:snapToGrid/>
        <w:spacing w:line="400" w:lineRule="exact"/>
        <w:textAlignment w:val="auto"/>
        <w:rPr>
          <w:rFonts w:ascii="Times New Roman" w:hAnsi="Times New Roman"/>
          <w:sz w:val="24"/>
          <w:szCs w:val="24"/>
          <w:highlight w:val="none"/>
        </w:rPr>
      </w:pPr>
      <w:r>
        <w:rPr>
          <w:rFonts w:hint="eastAsia" w:ascii="Times New Roman" w:hAnsi="Times New Roman"/>
          <w:sz w:val="24"/>
          <w:szCs w:val="24"/>
          <w:highlight w:val="none"/>
        </w:rPr>
        <w:t>本文件负责起草单位：中国建筑科学研究院有限公司。</w:t>
      </w:r>
    </w:p>
    <w:p w14:paraId="1EB45E62">
      <w:pPr>
        <w:keepNext w:val="0"/>
        <w:keepLines w:val="0"/>
        <w:pageBreakBefore w:val="0"/>
        <w:widowControl/>
        <w:kinsoku/>
        <w:wordWrap/>
        <w:overflowPunct/>
        <w:topLinePunct w:val="0"/>
        <w:autoSpaceDE/>
        <w:autoSpaceDN/>
        <w:bidi w:val="0"/>
        <w:adjustRightInd/>
        <w:snapToGrid/>
        <w:spacing w:line="400" w:lineRule="exact"/>
        <w:textAlignment w:val="auto"/>
        <w:rPr>
          <w:rFonts w:ascii="Times New Roman" w:hAnsi="Times New Roman"/>
          <w:sz w:val="24"/>
          <w:szCs w:val="24"/>
          <w:highlight w:val="none"/>
        </w:rPr>
      </w:pPr>
      <w:r>
        <w:rPr>
          <w:rFonts w:hint="eastAsia" w:ascii="Times New Roman" w:hAnsi="Times New Roman"/>
          <w:sz w:val="24"/>
          <w:szCs w:val="24"/>
          <w:highlight w:val="none"/>
        </w:rPr>
        <w:t>本文件参加起草单位：。</w:t>
      </w:r>
    </w:p>
    <w:p w14:paraId="391E3D0D">
      <w:pPr>
        <w:keepNext w:val="0"/>
        <w:keepLines w:val="0"/>
        <w:pageBreakBefore w:val="0"/>
        <w:widowControl/>
        <w:kinsoku/>
        <w:wordWrap/>
        <w:overflowPunct/>
        <w:topLinePunct w:val="0"/>
        <w:autoSpaceDE/>
        <w:autoSpaceDN/>
        <w:bidi w:val="0"/>
        <w:adjustRightInd/>
        <w:snapToGrid/>
        <w:spacing w:line="400" w:lineRule="exact"/>
        <w:textAlignment w:val="auto"/>
        <w:rPr>
          <w:rFonts w:ascii="Times New Roman" w:hAnsi="Times New Roman"/>
          <w:sz w:val="24"/>
          <w:szCs w:val="24"/>
          <w:highlight w:val="none"/>
        </w:rPr>
      </w:pPr>
      <w:r>
        <w:rPr>
          <w:rFonts w:hint="eastAsia" w:ascii="Times New Roman" w:hAnsi="Times New Roman"/>
          <w:sz w:val="24"/>
          <w:szCs w:val="24"/>
          <w:highlight w:val="none"/>
        </w:rPr>
        <w:t>本文件主要起草人：。</w:t>
      </w:r>
    </w:p>
    <w:p w14:paraId="27A0C626">
      <w:pPr>
        <w:keepNext w:val="0"/>
        <w:keepLines w:val="0"/>
        <w:pageBreakBefore w:val="0"/>
        <w:widowControl/>
        <w:kinsoku/>
        <w:wordWrap/>
        <w:overflowPunct/>
        <w:topLinePunct w:val="0"/>
        <w:autoSpaceDE/>
        <w:autoSpaceDN/>
        <w:bidi w:val="0"/>
        <w:adjustRightInd/>
        <w:snapToGrid/>
        <w:spacing w:line="400" w:lineRule="exact"/>
        <w:textAlignment w:val="auto"/>
        <w:rPr>
          <w:rFonts w:ascii="Times New Roman" w:hAnsi="Times New Roman"/>
          <w:highlight w:val="none"/>
        </w:rPr>
      </w:pPr>
      <w:r>
        <w:rPr>
          <w:rFonts w:hint="eastAsia" w:ascii="Times New Roman" w:hAnsi="Times New Roman"/>
          <w:sz w:val="24"/>
          <w:szCs w:val="24"/>
          <w:highlight w:val="none"/>
        </w:rPr>
        <w:t>本文件</w:t>
      </w:r>
      <w:r>
        <w:rPr>
          <w:rFonts w:hint="eastAsia" w:ascii="Times New Roman" w:hAnsi="Times New Roman"/>
          <w:sz w:val="24"/>
          <w:szCs w:val="24"/>
          <w:highlight w:val="none"/>
          <w:lang w:val="en-US" w:eastAsia="zh-CN"/>
        </w:rPr>
        <w:t>主要审查人：</w:t>
      </w:r>
      <w:r>
        <w:rPr>
          <w:rFonts w:hint="eastAsia" w:ascii="Times New Roman" w:hAnsi="Times New Roman"/>
          <w:sz w:val="24"/>
          <w:szCs w:val="24"/>
          <w:highlight w:val="none"/>
        </w:rPr>
        <w:t>。</w:t>
      </w:r>
      <w:r>
        <w:rPr>
          <w:rFonts w:ascii="Times New Roman" w:hAnsi="Times New Roman"/>
          <w:highlight w:val="none"/>
        </w:rPr>
        <w:br w:type="page"/>
      </w:r>
    </w:p>
    <w:p w14:paraId="18DAB338">
      <w:pPr>
        <w:pStyle w:val="76"/>
        <w:rPr>
          <w:rFonts w:ascii="Times New Roman" w:hAnsi="Times New Roman"/>
          <w:color w:val="auto"/>
          <w:highlight w:val="none"/>
        </w:rPr>
        <w:sectPr>
          <w:headerReference r:id="rId11" w:type="default"/>
          <w:footerReference r:id="rId12" w:type="default"/>
          <w:footerReference r:id="rId13" w:type="even"/>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p>
    <w:p w14:paraId="4D402A61">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eastAsia" w:ascii="Times New Roman" w:hAnsi="Times New Roman" w:eastAsia="黑体" w:cs="Times New Roman"/>
          <w:sz w:val="32"/>
          <w:szCs w:val="22"/>
          <w:highlight w:val="none"/>
          <w:lang w:val="en-US" w:eastAsia="zh-CN" w:bidi="ar-SA"/>
        </w:rPr>
      </w:pPr>
      <w:bookmarkStart w:id="22" w:name="_Toc11548"/>
      <w:r>
        <w:rPr>
          <w:rFonts w:hint="default" w:ascii="Times New Roman" w:hAnsi="Times New Roman" w:eastAsia="黑体" w:cs="Times New Roman"/>
          <w:b w:val="0"/>
          <w:i w:val="0"/>
          <w:sz w:val="32"/>
          <w:szCs w:val="32"/>
          <w:highlight w:val="none"/>
          <w:lang w:val="en-US" w:eastAsia="zh-CN" w:bidi="ar-SA"/>
        </w:rPr>
        <w:t>1　</w:t>
      </w:r>
      <w:r>
        <w:rPr>
          <w:rFonts w:hint="eastAsia" w:ascii="Times New Roman" w:hAnsi="Times New Roman" w:eastAsia="黑体" w:cs="Times New Roman"/>
          <w:sz w:val="32"/>
          <w:szCs w:val="22"/>
          <w:highlight w:val="none"/>
          <w:lang w:val="en-US" w:eastAsia="zh-CN" w:bidi="ar-SA"/>
        </w:rPr>
        <w:t>总</w:t>
      </w:r>
      <w:r>
        <w:rPr>
          <w:rFonts w:hint="eastAsia" w:ascii="Times New Roman" w:hAnsi="Times New Roman" w:cs="Times New Roman"/>
          <w:sz w:val="32"/>
          <w:szCs w:val="22"/>
          <w:highlight w:val="none"/>
          <w:lang w:val="en-US" w:eastAsia="zh-CN" w:bidi="ar-SA"/>
        </w:rPr>
        <w:t xml:space="preserve"> </w:t>
      </w:r>
      <w:r>
        <w:rPr>
          <w:rFonts w:hint="eastAsia" w:ascii="Times New Roman" w:hAnsi="Times New Roman" w:eastAsia="黑体" w:cs="Times New Roman"/>
          <w:sz w:val="32"/>
          <w:szCs w:val="22"/>
          <w:highlight w:val="none"/>
          <w:lang w:val="en-US" w:eastAsia="zh-CN" w:bidi="ar-SA"/>
        </w:rPr>
        <w:t xml:space="preserve"> 则</w:t>
      </w:r>
      <w:bookmarkEnd w:id="22"/>
    </w:p>
    <w:p w14:paraId="0B2361CC">
      <w:pPr>
        <w:pStyle w:val="44"/>
        <w:keepNext w:val="0"/>
        <w:keepLines w:val="0"/>
        <w:pageBreakBefore w:val="0"/>
        <w:widowControl/>
        <w:numPr>
          <w:ilvl w:val="0"/>
          <w:numId w:val="5"/>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outlineLvl w:val="9"/>
        <w:rPr>
          <w:rFonts w:ascii="Times New Roman" w:hAnsi="Times New Roman"/>
          <w:sz w:val="24"/>
          <w:szCs w:val="24"/>
          <w:highlight w:val="none"/>
        </w:rPr>
      </w:pPr>
      <w:r>
        <w:rPr>
          <w:rFonts w:hint="eastAsia" w:ascii="Times New Roman" w:hAnsi="Times New Roman" w:cs="Times New Roman" w:eastAsiaTheme="minorEastAsia"/>
          <w:color w:val="000000" w:themeColor="text1"/>
          <w:sz w:val="24"/>
          <w:szCs w:val="24"/>
          <w:highlight w:val="none"/>
          <w:lang w:val="en-US" w:eastAsia="zh-CN" w:bidi="ar-SA"/>
          <w14:textFill>
            <w14:solidFill>
              <w14:schemeClr w14:val="tx1"/>
            </w14:solidFill>
          </w14:textFill>
        </w:rPr>
        <w:t>为促进固废利用，规范花岗岩石粉在混凝土中的应用，保障工程质量，做到技术先进、经济合理，制定本规范。</w:t>
      </w:r>
    </w:p>
    <w:p w14:paraId="2F89D3CA">
      <w:pPr>
        <w:pStyle w:val="44"/>
        <w:keepNext w:val="0"/>
        <w:keepLines w:val="0"/>
        <w:pageBreakBefore w:val="0"/>
        <w:widowControl/>
        <w:numPr>
          <w:ilvl w:val="0"/>
          <w:numId w:val="5"/>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eastAsia" w:ascii="Times New Roman" w:hAnsi="Times New Roman" w:cs="Times New Roman" w:eastAsiaTheme="minorEastAsia"/>
          <w:color w:val="000000" w:themeColor="text1"/>
          <w:sz w:val="24"/>
          <w:szCs w:val="24"/>
          <w:highlight w:val="none"/>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sz w:val="24"/>
          <w:szCs w:val="24"/>
          <w:highlight w:val="none"/>
          <w:lang w:val="en-US" w:eastAsia="zh-CN" w:bidi="ar-SA"/>
          <w14:textFill>
            <w14:solidFill>
              <w14:schemeClr w14:val="tx1"/>
            </w14:solidFill>
          </w14:textFill>
        </w:rPr>
        <w:t>本规范适用于花岗岩石粉作为矿物掺合料在混凝土中的应用。</w:t>
      </w:r>
    </w:p>
    <w:p w14:paraId="024456CA">
      <w:pPr>
        <w:pStyle w:val="44"/>
        <w:keepNext w:val="0"/>
        <w:keepLines w:val="0"/>
        <w:pageBreakBefore w:val="0"/>
        <w:widowControl/>
        <w:numPr>
          <w:ilvl w:val="0"/>
          <w:numId w:val="5"/>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eastAsia" w:ascii="Times New Roman" w:hAnsi="Times New Roman" w:cs="Times New Roman" w:eastAsiaTheme="minorEastAsia"/>
          <w:color w:val="000000" w:themeColor="text1"/>
          <w:sz w:val="24"/>
          <w:szCs w:val="24"/>
          <w:highlight w:val="none"/>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sz w:val="24"/>
          <w:szCs w:val="24"/>
          <w:highlight w:val="none"/>
          <w:lang w:val="en-US" w:eastAsia="zh-CN" w:bidi="ar-SA"/>
          <w14:textFill>
            <w14:solidFill>
              <w14:schemeClr w14:val="tx1"/>
            </w14:solidFill>
          </w14:textFill>
        </w:rPr>
        <w:t>花岗岩石粉在混凝土中的应用除应符合本规范外，尚应符合国家现行有关标准的规定。</w:t>
      </w:r>
    </w:p>
    <w:p w14:paraId="3E9DA068">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7BCF7559">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630DD312">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753C2A2E">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45E10E7D">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59698FAC">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6F6D7763">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431A6986">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2AEB2470">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37938B14">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08A0627F">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pPr>
    </w:p>
    <w:p w14:paraId="7AC35DAC">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default" w:ascii="Times New Roman" w:hAnsi="Times New Roman" w:eastAsia="黑体" w:cs="Times New Roman"/>
          <w:b w:val="0"/>
          <w:i w:val="0"/>
          <w:sz w:val="32"/>
          <w:szCs w:val="32"/>
          <w:highlight w:val="none"/>
          <w:lang w:val="en-US" w:eastAsia="zh-CN" w:bidi="ar-SA"/>
        </w:rPr>
      </w:pPr>
      <w:bookmarkStart w:id="23" w:name="_Toc25666"/>
      <w:r>
        <w:rPr>
          <w:rFonts w:hint="eastAsia" w:ascii="Times New Roman" w:hAnsi="Times New Roman" w:eastAsia="黑体" w:cs="Times New Roman"/>
          <w:b w:val="0"/>
          <w:i w:val="0"/>
          <w:sz w:val="32"/>
          <w:szCs w:val="32"/>
          <w:highlight w:val="none"/>
          <w:lang w:val="en-US" w:eastAsia="zh-CN" w:bidi="ar-SA"/>
        </w:rPr>
        <w:t>2　术</w:t>
      </w:r>
      <w:r>
        <w:rPr>
          <w:rFonts w:hint="eastAsia" w:ascii="Times New Roman" w:hAnsi="Times New Roman" w:cs="Times New Roman"/>
          <w:b w:val="0"/>
          <w:i w:val="0"/>
          <w:sz w:val="32"/>
          <w:szCs w:val="32"/>
          <w:highlight w:val="none"/>
          <w:lang w:val="en-US" w:eastAsia="zh-CN" w:bidi="ar-SA"/>
        </w:rPr>
        <w:t xml:space="preserve">  </w:t>
      </w:r>
      <w:r>
        <w:rPr>
          <w:rFonts w:hint="eastAsia" w:ascii="Times New Roman" w:hAnsi="Times New Roman" w:eastAsia="黑体" w:cs="Times New Roman"/>
          <w:b w:val="0"/>
          <w:i w:val="0"/>
          <w:sz w:val="32"/>
          <w:szCs w:val="32"/>
          <w:highlight w:val="none"/>
          <w:lang w:val="en-US" w:eastAsia="zh-CN" w:bidi="ar-SA"/>
        </w:rPr>
        <w:t>语</w:t>
      </w:r>
      <w:bookmarkEnd w:id="23"/>
    </w:p>
    <w:p w14:paraId="753E6C64">
      <w:pPr>
        <w:pStyle w:val="44"/>
        <w:keepNext w:val="0"/>
        <w:keepLines w:val="0"/>
        <w:pageBreakBefore w:val="0"/>
        <w:widowControl/>
        <w:numPr>
          <w:ilvl w:val="0"/>
          <w:numId w:val="6"/>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default" w:ascii="Times New Roman" w:hAnsi="Times New Roman"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t>花岗岩石粉　</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granite stone powder</w:t>
      </w:r>
    </w:p>
    <w:p w14:paraId="2B3D6D11">
      <w:pPr>
        <w:pStyle w:val="44"/>
        <w:keepNext w:val="0"/>
        <w:keepLines w:val="0"/>
        <w:pageBreakBefore w:val="0"/>
        <w:widowControl/>
        <w:numPr>
          <w:ilvl w:val="1"/>
          <w:numId w:val="0"/>
        </w:numPr>
        <w:kinsoku/>
        <w:wordWrap/>
        <w:overflowPunct/>
        <w:topLinePunct w:val="0"/>
        <w:autoSpaceDE w:val="0"/>
        <w:autoSpaceDN w:val="0"/>
        <w:bidi w:val="0"/>
        <w:adjustRightInd/>
        <w:snapToGrid/>
        <w:spacing w:before="0" w:beforeLines="0" w:after="0" w:afterLines="0" w:line="400" w:lineRule="exact"/>
        <w:ind w:leftChars="0" w:firstLine="480" w:firstLineChars="200"/>
        <w:textAlignment w:val="auto"/>
        <w:rPr>
          <w:rFonts w:hint="eastAsia" w:ascii="Times New Roman" w:hAnsi="Times New Roman" w:eastAsia="宋体" w:cs="Times New Roman"/>
          <w:color w:val="000000"/>
          <w:kern w:val="2"/>
          <w:sz w:val="24"/>
          <w:szCs w:val="24"/>
          <w:highlight w:val="none"/>
          <w:lang w:val="en-US" w:eastAsia="zh-CN" w:bidi="ar-SA"/>
        </w:rPr>
      </w:pPr>
      <w:r>
        <w:rPr>
          <w:rFonts w:ascii="宋体" w:hAnsi="宋体" w:eastAsia="宋体" w:cs="宋体"/>
          <w:sz w:val="24"/>
          <w:szCs w:val="24"/>
          <w:highlight w:val="none"/>
        </w:rPr>
        <w:t>以主要成分为氧化硅和氧化铝的花岗岩为原料</w:t>
      </w:r>
      <w:r>
        <w:rPr>
          <w:rFonts w:hint="eastAsia" w:ascii="Times New Roman" w:hAnsi="Times New Roman" w:eastAsia="宋体" w:cs="Times New Roman"/>
          <w:color w:val="000000"/>
          <w:kern w:val="2"/>
          <w:sz w:val="24"/>
          <w:szCs w:val="24"/>
          <w:highlight w:val="none"/>
          <w:lang w:val="en-US" w:eastAsia="zh-CN" w:bidi="ar-SA"/>
        </w:rPr>
        <w:t>，经粉磨至规定细度的粉状材料或机制砂生产过程中产生的收尘粉。</w:t>
      </w:r>
    </w:p>
    <w:p w14:paraId="32A15941">
      <w:pPr>
        <w:pStyle w:val="44"/>
        <w:keepNext w:val="0"/>
        <w:keepLines w:val="0"/>
        <w:pageBreakBefore w:val="0"/>
        <w:widowControl/>
        <w:numPr>
          <w:ilvl w:val="0"/>
          <w:numId w:val="6"/>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outlineLvl w:val="9"/>
        <w:rPr>
          <w:rFonts w:hint="default" w:ascii="Times New Roman" w:hAnsi="Times New Roman" w:cs="Times New Roman"/>
          <w:color w:val="000000" w:themeColor="text1"/>
          <w:sz w:val="24"/>
          <w:szCs w:val="24"/>
          <w:highlight w:val="none"/>
          <w:lang w:val="en-US" w:eastAsia="zh-CN"/>
          <w14:textFill>
            <w14:solidFill>
              <w14:schemeClr w14:val="tx1"/>
            </w14:solidFill>
          </w14:textFill>
        </w:rPr>
      </w:pPr>
      <w:bookmarkStart w:id="24" w:name="_Toc29919"/>
      <w:r>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t>矿物掺合料</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mineral admixture</w:t>
      </w:r>
      <w:bookmarkEnd w:id="24"/>
    </w:p>
    <w:p w14:paraId="4430870F">
      <w:pPr>
        <w:pStyle w:val="44"/>
        <w:keepNext w:val="0"/>
        <w:keepLines w:val="0"/>
        <w:pageBreakBefore w:val="0"/>
        <w:widowControl/>
        <w:numPr>
          <w:ilvl w:val="1"/>
          <w:numId w:val="0"/>
        </w:numPr>
        <w:kinsoku/>
        <w:wordWrap/>
        <w:overflowPunct/>
        <w:topLinePunct w:val="0"/>
        <w:autoSpaceDE w:val="0"/>
        <w:autoSpaceDN w:val="0"/>
        <w:bidi w:val="0"/>
        <w:adjustRightInd/>
        <w:snapToGrid/>
        <w:spacing w:before="0" w:beforeLines="0" w:after="0" w:afterLines="0" w:line="400" w:lineRule="exact"/>
        <w:ind w:leftChars="0" w:firstLine="480" w:firstLineChars="200"/>
        <w:textAlignment w:val="auto"/>
        <w:rPr>
          <w:rFonts w:hint="eastAsia" w:ascii="Times New Roman" w:hAnsi="Times New Roman" w:eastAsia="宋体" w:cs="Times New Roman"/>
          <w:color w:val="000000"/>
          <w:kern w:val="2"/>
          <w:sz w:val="24"/>
          <w:szCs w:val="24"/>
          <w:highlight w:val="none"/>
          <w:lang w:val="en-US" w:eastAsia="zh-CN" w:bidi="ar-SA"/>
        </w:rPr>
      </w:pPr>
      <w:r>
        <w:rPr>
          <w:rFonts w:hint="eastAsia" w:ascii="Times New Roman" w:hAnsi="Times New Roman" w:eastAsia="宋体" w:cs="Times New Roman"/>
          <w:color w:val="000000"/>
          <w:kern w:val="2"/>
          <w:sz w:val="24"/>
          <w:szCs w:val="24"/>
          <w:highlight w:val="none"/>
          <w:lang w:val="en-US" w:eastAsia="zh-CN" w:bidi="ar-SA"/>
        </w:rPr>
        <w:t>以硅、铝、钙等一种或多种氧化物为主要成分，具有规定细度，掺入混凝土中能改善混凝土性能的粉体材料。</w:t>
      </w:r>
      <w:bookmarkStart w:id="25" w:name="_Hlk95404035"/>
    </w:p>
    <w:p w14:paraId="583F04FC">
      <w:pPr>
        <w:pStyle w:val="44"/>
        <w:keepNext w:val="0"/>
        <w:keepLines w:val="0"/>
        <w:pageBreakBefore w:val="0"/>
        <w:widowControl/>
        <w:numPr>
          <w:ilvl w:val="0"/>
          <w:numId w:val="6"/>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宋体"/>
          <w:color w:val="000000" w:themeColor="text1"/>
          <w:sz w:val="24"/>
          <w:szCs w:val="24"/>
          <w:highlight w:val="none"/>
          <w:lang w:val="en-US" w:eastAsia="zh-CN"/>
          <w14:textFill>
            <w14:solidFill>
              <w14:schemeClr w14:val="tx1"/>
            </w14:solidFill>
          </w14:textFill>
        </w:rPr>
        <w:t>花岗岩石粉影响系数</w:t>
      </w:r>
      <w:r>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t>　influence value of granite stone powder</w:t>
      </w:r>
    </w:p>
    <w:p w14:paraId="369C3D8F">
      <w:pPr>
        <w:pStyle w:val="44"/>
        <w:keepNext w:val="0"/>
        <w:keepLines w:val="0"/>
        <w:pageBreakBefore w:val="0"/>
        <w:widowControl/>
        <w:numPr>
          <w:ilvl w:val="1"/>
          <w:numId w:val="0"/>
        </w:numPr>
        <w:kinsoku/>
        <w:wordWrap/>
        <w:overflowPunct/>
        <w:topLinePunct w:val="0"/>
        <w:autoSpaceDE w:val="0"/>
        <w:autoSpaceDN w:val="0"/>
        <w:bidi w:val="0"/>
        <w:adjustRightInd/>
        <w:snapToGrid/>
        <w:spacing w:before="0" w:beforeLines="0" w:after="0" w:afterLines="0" w:line="400" w:lineRule="exact"/>
        <w:ind w:leftChars="0" w:firstLine="480" w:firstLineChars="200"/>
        <w:textAlignment w:val="auto"/>
        <w:rPr>
          <w:rFonts w:hint="eastAsia" w:ascii="Times New Roman" w:hAnsi="Times New Roman" w:eastAsia="宋体" w:cs="Times New Roman"/>
          <w:color w:val="000000"/>
          <w:kern w:val="2"/>
          <w:sz w:val="24"/>
          <w:szCs w:val="24"/>
          <w:highlight w:val="none"/>
          <w:lang w:val="en-US" w:eastAsia="zh-CN" w:bidi="ar-SA"/>
        </w:rPr>
      </w:pPr>
      <w:r>
        <w:rPr>
          <w:rFonts w:hint="eastAsia" w:ascii="Times New Roman" w:hAnsi="Times New Roman" w:eastAsia="宋体" w:cs="Times New Roman"/>
          <w:color w:val="000000"/>
          <w:kern w:val="2"/>
          <w:sz w:val="24"/>
          <w:szCs w:val="24"/>
          <w:highlight w:val="none"/>
          <w:lang w:val="en-US" w:eastAsia="zh-CN" w:bidi="ar-SA"/>
        </w:rPr>
        <w:t>在推算掺加花岗岩石粉的胶凝材料28d 胶砂抗压强度时，用于折减水泥28d 胶砂抗压强度的系数，为无量纲的数值，记为</w:t>
      </w:r>
      <w:r>
        <w:rPr>
          <w:rFonts w:hint="default" w:ascii="Times New Roman" w:hAnsi="Times New Roman" w:cs="Times New Roman" w:eastAsiaTheme="minorEastAsia"/>
          <w:b w:val="0"/>
          <w:bCs w:val="0"/>
          <w:i/>
          <w:iCs/>
          <w:sz w:val="24"/>
          <w:szCs w:val="24"/>
          <w:highlight w:val="none"/>
        </w:rPr>
        <w:t>γ</w:t>
      </w:r>
      <w:r>
        <w:rPr>
          <w:rFonts w:hint="default" w:ascii="Times New Roman" w:hAnsi="Times New Roman" w:cs="Times New Roman" w:eastAsiaTheme="minorEastAsia"/>
          <w:b w:val="0"/>
          <w:bCs w:val="0"/>
          <w:i w:val="0"/>
          <w:iCs w:val="0"/>
          <w:sz w:val="24"/>
          <w:szCs w:val="24"/>
          <w:highlight w:val="none"/>
          <w:vertAlign w:val="subscript"/>
        </w:rPr>
        <w:t>H</w:t>
      </w:r>
      <w:r>
        <w:rPr>
          <w:rFonts w:hint="eastAsia" w:ascii="Times New Roman" w:hAnsi="Times New Roman" w:eastAsia="宋体" w:cs="Times New Roman"/>
          <w:color w:val="000000"/>
          <w:kern w:val="2"/>
          <w:sz w:val="24"/>
          <w:szCs w:val="24"/>
          <w:highlight w:val="none"/>
          <w:lang w:val="en-US" w:eastAsia="zh-CN" w:bidi="ar-SA"/>
        </w:rPr>
        <w:t>。</w:t>
      </w:r>
    </w:p>
    <w:p w14:paraId="69FCC4E1">
      <w:pPr>
        <w:pStyle w:val="44"/>
        <w:keepNext w:val="0"/>
        <w:keepLines w:val="0"/>
        <w:pageBreakBefore w:val="0"/>
        <w:widowControl/>
        <w:numPr>
          <w:ilvl w:val="0"/>
          <w:numId w:val="6"/>
        </w:numPr>
        <w:tabs>
          <w:tab w:val="clear" w:pos="0"/>
        </w:tabs>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宋体"/>
          <w:color w:val="000000" w:themeColor="text1"/>
          <w:sz w:val="24"/>
          <w:szCs w:val="24"/>
          <w:highlight w:val="none"/>
          <w:lang w:val="en-US" w:eastAsia="zh-CN"/>
          <w14:textFill>
            <w14:solidFill>
              <w14:schemeClr w14:val="tx1"/>
            </w14:solidFill>
          </w14:textFill>
        </w:rPr>
        <w:t>花岗岩石粉</w:t>
      </w:r>
      <w:r>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t>亚甲蓝值（MB</w:t>
      </w:r>
      <w:r>
        <w:rPr>
          <w:rFonts w:hint="default" w:ascii="Times New Roman" w:hAnsi="Times New Roman" w:eastAsia="宋体" w:cs="宋体"/>
          <w:color w:val="000000" w:themeColor="text1"/>
          <w:sz w:val="24"/>
          <w:szCs w:val="24"/>
          <w:highlight w:val="none"/>
          <w:vertAlign w:val="subscript"/>
          <w:lang w:val="en-US" w:eastAsia="zh-CN"/>
          <w14:textFill>
            <w14:solidFill>
              <w14:schemeClr w14:val="tx1"/>
            </w14:solidFill>
          </w14:textFill>
        </w:rPr>
        <w:t>F</w:t>
      </w:r>
      <w:r>
        <w:rPr>
          <w:rFonts w:hint="default" w:ascii="Times New Roman" w:hAnsi="Times New Roman" w:eastAsia="宋体" w:cs="宋体"/>
          <w:color w:val="000000" w:themeColor="text1"/>
          <w:sz w:val="24"/>
          <w:szCs w:val="24"/>
          <w:highlight w:val="none"/>
          <w:lang w:val="en-US" w:eastAsia="zh-CN"/>
          <w14:textFill>
            <w14:solidFill>
              <w14:schemeClr w14:val="tx1"/>
            </w14:solidFill>
          </w14:textFill>
        </w:rPr>
        <w:t>值） methylene blue number of limestone powder</w:t>
      </w:r>
    </w:p>
    <w:p w14:paraId="502D8D60">
      <w:pPr>
        <w:pStyle w:val="44"/>
        <w:keepNext w:val="0"/>
        <w:keepLines w:val="0"/>
        <w:pageBreakBefore w:val="0"/>
        <w:widowControl/>
        <w:numPr>
          <w:ilvl w:val="1"/>
          <w:numId w:val="0"/>
        </w:numPr>
        <w:kinsoku/>
        <w:wordWrap/>
        <w:overflowPunct/>
        <w:topLinePunct w:val="0"/>
        <w:autoSpaceDE w:val="0"/>
        <w:autoSpaceDN w:val="0"/>
        <w:bidi w:val="0"/>
        <w:adjustRightInd/>
        <w:snapToGrid/>
        <w:spacing w:before="0" w:beforeLines="0" w:after="0" w:afterLines="0" w:line="400" w:lineRule="exact"/>
        <w:ind w:leftChars="0" w:firstLine="480" w:firstLineChars="200"/>
        <w:textAlignment w:val="auto"/>
        <w:rPr>
          <w:rFonts w:hint="eastAsia" w:ascii="Times New Roman" w:hAnsi="Times New Roman" w:eastAsia="宋体" w:cs="Times New Roman"/>
          <w:bCs w:val="0"/>
          <w:color w:val="000000"/>
          <w:kern w:val="2"/>
          <w:sz w:val="24"/>
          <w:szCs w:val="24"/>
          <w:highlight w:val="none"/>
          <w:lang w:val="en-US" w:eastAsia="zh-CN"/>
        </w:rPr>
      </w:pPr>
      <w:r>
        <w:rPr>
          <w:rFonts w:hint="eastAsia" w:ascii="Times New Roman" w:hAnsi="Times New Roman" w:eastAsia="宋体" w:cs="Times New Roman"/>
          <w:bCs w:val="0"/>
          <w:color w:val="000000"/>
          <w:kern w:val="2"/>
          <w:sz w:val="24"/>
          <w:szCs w:val="24"/>
          <w:highlight w:val="none"/>
          <w:lang w:val="en-US" w:eastAsia="zh-CN"/>
        </w:rPr>
        <w:t>用于判定花岗岩石粉吸附性的指标。</w:t>
      </w:r>
    </w:p>
    <w:p w14:paraId="2A1CB153">
      <w:pPr>
        <w:rPr>
          <w:rFonts w:hint="eastAsia" w:ascii="Times New Roman" w:hAnsi="Times New Roman" w:eastAsia="宋体" w:cs="Times New Roman"/>
          <w:color w:val="000000"/>
          <w:kern w:val="2"/>
          <w:sz w:val="24"/>
          <w:szCs w:val="24"/>
          <w:highlight w:val="none"/>
          <w:lang w:val="en-US" w:eastAsia="zh-CN" w:bidi="ar-SA"/>
        </w:rPr>
      </w:pPr>
      <w:r>
        <w:rPr>
          <w:rFonts w:hint="eastAsia" w:ascii="Times New Roman" w:hAnsi="Times New Roman" w:eastAsia="宋体" w:cs="Times New Roman"/>
          <w:color w:val="000000"/>
          <w:kern w:val="2"/>
          <w:sz w:val="24"/>
          <w:szCs w:val="24"/>
          <w:highlight w:val="none"/>
          <w:lang w:val="en-US" w:eastAsia="zh-CN" w:bidi="ar-SA"/>
        </w:rPr>
        <w:br w:type="page"/>
      </w:r>
    </w:p>
    <w:p w14:paraId="288D7ABF">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eastAsia" w:ascii="Times New Roman" w:hAnsi="Times New Roman" w:eastAsia="黑体" w:cs="Times New Roman"/>
          <w:b w:val="0"/>
          <w:i w:val="0"/>
          <w:sz w:val="32"/>
          <w:szCs w:val="32"/>
          <w:highlight w:val="none"/>
          <w:lang w:val="en-US" w:eastAsia="zh-CN" w:bidi="ar-SA"/>
        </w:rPr>
      </w:pPr>
      <w:bookmarkStart w:id="26" w:name="_Toc30095"/>
      <w:r>
        <w:rPr>
          <w:rFonts w:hint="eastAsia" w:ascii="Times New Roman" w:hAnsi="Times New Roman" w:eastAsia="黑体" w:cs="Times New Roman"/>
          <w:b w:val="0"/>
          <w:i w:val="0"/>
          <w:sz w:val="32"/>
          <w:szCs w:val="32"/>
          <w:highlight w:val="none"/>
          <w:lang w:val="en-US" w:eastAsia="zh-CN" w:bidi="ar-SA"/>
        </w:rPr>
        <w:t>3  原材料</w:t>
      </w:r>
      <w:bookmarkEnd w:id="26"/>
    </w:p>
    <w:p w14:paraId="68D34B47">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cs="Times New Roman"/>
          <w:b/>
          <w:bCs/>
          <w:sz w:val="28"/>
          <w:szCs w:val="28"/>
          <w:highlight w:val="none"/>
          <w:lang w:val="en-US" w:eastAsia="zh-CN"/>
        </w:rPr>
      </w:pPr>
      <w:bookmarkStart w:id="27" w:name="_Toc7639"/>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3.1</w:t>
      </w:r>
      <w:r>
        <w:rPr>
          <w:rFonts w:hint="eastAsia" w:ascii="Times New Roman" w:hAnsi="Times New Roman" w:eastAsia="黑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w:t>
      </w:r>
      <w:r>
        <w:rPr>
          <w:rFonts w:hint="eastAsia" w:ascii="Times New Roman" w:hAnsi="Times New Roman" w:eastAsia="宋体" w:cs="宋体"/>
          <w:b/>
          <w:bCs/>
          <w:sz w:val="28"/>
          <w:szCs w:val="28"/>
          <w:highlight w:val="none"/>
          <w:lang w:val="en-US" w:eastAsia="zh-CN"/>
        </w:rPr>
        <w:t>花岗岩石粉</w:t>
      </w:r>
      <w:bookmarkEnd w:id="27"/>
    </w:p>
    <w:p w14:paraId="541E6F94">
      <w:pPr>
        <w:pStyle w:val="44"/>
        <w:keepNext w:val="0"/>
        <w:keepLines w:val="0"/>
        <w:pageBreakBefore w:val="0"/>
        <w:widowControl/>
        <w:numPr>
          <w:ilvl w:val="0"/>
          <w:numId w:val="0"/>
        </w:numPr>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b/>
          <w:bCs/>
          <w:color w:val="000000"/>
          <w:kern w:val="2"/>
          <w:sz w:val="24"/>
          <w:szCs w:val="24"/>
          <w:highlight w:val="none"/>
          <w:lang w:val="en-US" w:eastAsia="zh-CN" w:bidi="ar-SA"/>
        </w:rPr>
        <w:t>3.</w:t>
      </w:r>
      <w:r>
        <w:rPr>
          <w:rFonts w:hint="eastAsia" w:ascii="Times New Roman" w:hAnsi="Times New Roman" w:eastAsia="宋体" w:cs="Times New Roman"/>
          <w:b/>
          <w:bCs/>
          <w:color w:val="000000"/>
          <w:kern w:val="2"/>
          <w:sz w:val="24"/>
          <w:szCs w:val="24"/>
          <w:highlight w:val="none"/>
          <w:lang w:val="en-US" w:eastAsia="zh-CN" w:bidi="ar-SA"/>
        </w:rPr>
        <w:t>1</w:t>
      </w:r>
      <w:r>
        <w:rPr>
          <w:rFonts w:hint="default" w:ascii="Times New Roman" w:hAnsi="Times New Roman" w:eastAsia="宋体" w:cs="Times New Roman"/>
          <w:b/>
          <w:bCs/>
          <w:color w:val="000000"/>
          <w:kern w:val="2"/>
          <w:sz w:val="24"/>
          <w:szCs w:val="24"/>
          <w:highlight w:val="none"/>
          <w:lang w:val="en-US" w:eastAsia="zh-CN" w:bidi="ar-SA"/>
        </w:rPr>
        <w:t xml:space="preserve">.1 </w:t>
      </w:r>
      <w:r>
        <w:rPr>
          <w:rFonts w:hint="default" w:ascii="Times New Roman" w:hAnsi="Times New Roman" w:eastAsia="宋体" w:cs="Times New Roman"/>
          <w:color w:val="000000"/>
          <w:kern w:val="2"/>
          <w:sz w:val="24"/>
          <w:szCs w:val="24"/>
          <w:highlight w:val="none"/>
          <w:lang w:val="en-US" w:eastAsia="zh-CN" w:bidi="ar-SA"/>
        </w:rPr>
        <w:t>花岗岩石粉放射性核素限量应符合现行国家标准《建筑材料放射性核素限量》GB 6566的有关规定。</w:t>
      </w:r>
    </w:p>
    <w:p w14:paraId="63B96258">
      <w:pPr>
        <w:pStyle w:val="44"/>
        <w:keepNext w:val="0"/>
        <w:keepLines w:val="0"/>
        <w:pageBreakBefore w:val="0"/>
        <w:widowControl/>
        <w:numPr>
          <w:ilvl w:val="0"/>
          <w:numId w:val="0"/>
        </w:numPr>
        <w:kinsoku/>
        <w:wordWrap/>
        <w:overflowPunct/>
        <w:topLinePunct w:val="0"/>
        <w:autoSpaceDE w:val="0"/>
        <w:autoSpaceDN w:val="0"/>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b/>
          <w:bCs/>
          <w:color w:val="000000"/>
          <w:kern w:val="2"/>
          <w:sz w:val="24"/>
          <w:szCs w:val="24"/>
          <w:highlight w:val="none"/>
          <w:lang w:val="en-US" w:eastAsia="zh-CN" w:bidi="ar-SA"/>
        </w:rPr>
        <w:t>3.</w:t>
      </w:r>
      <w:r>
        <w:rPr>
          <w:rFonts w:hint="eastAsia" w:ascii="Times New Roman" w:hAnsi="Times New Roman" w:eastAsia="宋体" w:cs="Times New Roman"/>
          <w:b/>
          <w:bCs/>
          <w:color w:val="000000"/>
          <w:kern w:val="2"/>
          <w:sz w:val="24"/>
          <w:szCs w:val="24"/>
          <w:highlight w:val="none"/>
          <w:lang w:val="en-US" w:eastAsia="zh-CN" w:bidi="ar-SA"/>
        </w:rPr>
        <w:t>1</w:t>
      </w:r>
      <w:r>
        <w:rPr>
          <w:rFonts w:hint="default" w:ascii="Times New Roman" w:hAnsi="Times New Roman" w:eastAsia="宋体" w:cs="Times New Roman"/>
          <w:b/>
          <w:bCs/>
          <w:color w:val="000000"/>
          <w:kern w:val="2"/>
          <w:sz w:val="24"/>
          <w:szCs w:val="24"/>
          <w:highlight w:val="none"/>
          <w:lang w:val="en-US" w:eastAsia="zh-CN" w:bidi="ar-SA"/>
        </w:rPr>
        <w:t xml:space="preserve">.2 </w:t>
      </w:r>
      <w:r>
        <w:rPr>
          <w:rFonts w:hint="default" w:ascii="Times New Roman" w:hAnsi="Times New Roman" w:eastAsia="宋体" w:cs="Times New Roman"/>
          <w:color w:val="000000"/>
          <w:kern w:val="2"/>
          <w:sz w:val="24"/>
          <w:szCs w:val="24"/>
          <w:highlight w:val="none"/>
          <w:lang w:val="en-US" w:eastAsia="zh-CN" w:bidi="ar-SA"/>
        </w:rPr>
        <w:t>花岗岩石粉的技术指标和测试方法应符合表3.</w:t>
      </w:r>
      <w:r>
        <w:rPr>
          <w:rFonts w:hint="eastAsia" w:ascii="Times New Roman" w:hAnsi="Times New Roman" w:eastAsia="宋体" w:cs="Times New Roman"/>
          <w:color w:val="000000"/>
          <w:kern w:val="2"/>
          <w:sz w:val="24"/>
          <w:szCs w:val="24"/>
          <w:highlight w:val="none"/>
          <w:lang w:val="en-US" w:eastAsia="zh-CN" w:bidi="ar-SA"/>
        </w:rPr>
        <w:t>1</w:t>
      </w:r>
      <w:r>
        <w:rPr>
          <w:rFonts w:hint="default" w:ascii="Times New Roman" w:hAnsi="Times New Roman" w:eastAsia="宋体" w:cs="Times New Roman"/>
          <w:color w:val="000000"/>
          <w:kern w:val="2"/>
          <w:sz w:val="24"/>
          <w:szCs w:val="24"/>
          <w:highlight w:val="none"/>
          <w:lang w:val="en-US" w:eastAsia="zh-CN" w:bidi="ar-SA"/>
        </w:rPr>
        <w:t>.2的规定。</w:t>
      </w:r>
    </w:p>
    <w:p w14:paraId="1C17287D">
      <w:pPr>
        <w:keepNext w:val="0"/>
        <w:keepLines w:val="0"/>
        <w:pageBreakBefore w:val="0"/>
        <w:widowControl/>
        <w:kinsoku/>
        <w:wordWrap/>
        <w:overflowPunct/>
        <w:topLinePunct w:val="0"/>
        <w:autoSpaceDE w:val="0"/>
        <w:autoSpaceDN w:val="0"/>
        <w:bidi w:val="0"/>
        <w:adjustRightInd/>
        <w:snapToGrid/>
        <w:spacing w:before="157" w:beforeLines="50"/>
        <w:jc w:val="center"/>
        <w:textAlignment w:val="auto"/>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表</w:t>
      </w:r>
      <w:r>
        <w:rPr>
          <w:rFonts w:hint="default"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3.</w:t>
      </w:r>
      <w:r>
        <w:rPr>
          <w:rFonts w:hint="eastAsia"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1</w:t>
      </w:r>
      <w:r>
        <w:rPr>
          <w:rFonts w:hint="default"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.2</w:t>
      </w: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　花岗岩石粉技术指标和测试方法</w:t>
      </w:r>
    </w:p>
    <w:tbl>
      <w:tblPr>
        <w:tblStyle w:val="22"/>
        <w:tblW w:w="4994" w:type="pct"/>
        <w:tblInd w:w="0" w:type="dxa"/>
        <w:tblLayout w:type="autofit"/>
        <w:tblCellMar>
          <w:top w:w="0" w:type="dxa"/>
          <w:left w:w="108" w:type="dxa"/>
          <w:bottom w:w="0" w:type="dxa"/>
          <w:right w:w="108" w:type="dxa"/>
        </w:tblCellMar>
      </w:tblPr>
      <w:tblGrid>
        <w:gridCol w:w="1773"/>
        <w:gridCol w:w="767"/>
        <w:gridCol w:w="1909"/>
        <w:gridCol w:w="5110"/>
      </w:tblGrid>
      <w:tr w14:paraId="443FB3E9">
        <w:tblPrEx>
          <w:tblCellMar>
            <w:top w:w="0" w:type="dxa"/>
            <w:left w:w="108" w:type="dxa"/>
            <w:bottom w:w="0" w:type="dxa"/>
            <w:right w:w="108" w:type="dxa"/>
          </w:tblCellMar>
        </w:tblPrEx>
        <w:trPr>
          <w:trHeight w:val="454" w:hRule="atLeast"/>
        </w:trPr>
        <w:tc>
          <w:tcPr>
            <w:tcW w:w="1328" w:type="pct"/>
            <w:gridSpan w:val="2"/>
            <w:tcBorders>
              <w:top w:val="single" w:color="000000" w:sz="4" w:space="0"/>
              <w:left w:val="single" w:color="000000" w:sz="4" w:space="0"/>
              <w:right w:val="single" w:color="000000" w:sz="4" w:space="0"/>
            </w:tcBorders>
            <w:vAlign w:val="center"/>
          </w:tcPr>
          <w:p w14:paraId="4CDD679F">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项目</w:t>
            </w:r>
          </w:p>
        </w:tc>
        <w:tc>
          <w:tcPr>
            <w:tcW w:w="998" w:type="pct"/>
            <w:tcBorders>
              <w:top w:val="single" w:color="000000" w:sz="4" w:space="0"/>
              <w:left w:val="nil"/>
              <w:bottom w:val="single" w:color="000000" w:sz="4" w:space="0"/>
              <w:right w:val="single" w:color="000000" w:sz="4" w:space="0"/>
            </w:tcBorders>
            <w:vAlign w:val="center"/>
          </w:tcPr>
          <w:p w14:paraId="29EBE3C6">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技术指标</w:t>
            </w:r>
          </w:p>
        </w:tc>
        <w:tc>
          <w:tcPr>
            <w:tcW w:w="2672" w:type="pct"/>
            <w:tcBorders>
              <w:top w:val="single" w:color="000000" w:sz="4" w:space="0"/>
              <w:left w:val="nil"/>
              <w:bottom w:val="single" w:color="000000" w:sz="4" w:space="0"/>
              <w:right w:val="single" w:color="000000" w:sz="4" w:space="0"/>
            </w:tcBorders>
            <w:vAlign w:val="center"/>
          </w:tcPr>
          <w:p w14:paraId="75B39793">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测试方法</w:t>
            </w:r>
          </w:p>
        </w:tc>
      </w:tr>
      <w:tr w14:paraId="58756187">
        <w:tblPrEx>
          <w:tblCellMar>
            <w:top w:w="0" w:type="dxa"/>
            <w:left w:w="108" w:type="dxa"/>
            <w:bottom w:w="0" w:type="dxa"/>
            <w:right w:w="108" w:type="dxa"/>
          </w:tblCellMar>
        </w:tblPrEx>
        <w:trPr>
          <w:trHeight w:val="454" w:hRule="atLeast"/>
        </w:trPr>
        <w:tc>
          <w:tcPr>
            <w:tcW w:w="927" w:type="pct"/>
            <w:vMerge w:val="restart"/>
            <w:tcBorders>
              <w:top w:val="single" w:color="000000" w:sz="4" w:space="0"/>
              <w:left w:val="single" w:color="000000" w:sz="4" w:space="0"/>
              <w:right w:val="single" w:color="000000" w:sz="4" w:space="0"/>
            </w:tcBorders>
            <w:vAlign w:val="center"/>
          </w:tcPr>
          <w:p w14:paraId="7F095AB9">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细度（</w:t>
            </w:r>
            <w:r>
              <w:rPr>
                <w:rFonts w:hint="default" w:ascii="Times New Roman" w:hAnsi="Times New Roman" w:cs="Times New Roman"/>
                <w:highlight w:val="none"/>
              </w:rPr>
              <w:t>45µm</w:t>
            </w:r>
            <w:r>
              <w:rPr>
                <w:rFonts w:hint="default" w:ascii="Times New Roman" w:hAnsi="Times New Roman" w:cs="Times New Roman"/>
                <w:highlight w:val="none"/>
                <w:lang w:val="en-US" w:eastAsia="zh-CN"/>
              </w:rPr>
              <w:t>方孔筛</w:t>
            </w:r>
            <w:r>
              <w:rPr>
                <w:rFonts w:hint="default" w:ascii="Times New Roman" w:hAnsi="Times New Roman" w:cs="Times New Roman"/>
                <w:highlight w:val="none"/>
              </w:rPr>
              <w:t>筛余</w:t>
            </w:r>
            <w:r>
              <w:rPr>
                <w:rFonts w:hint="default" w:ascii="Times New Roman" w:hAnsi="Times New Roman" w:eastAsia="宋体" w:cs="Times New Roman"/>
                <w:color w:val="000000" w:themeColor="text1"/>
                <w:sz w:val="21"/>
                <w:szCs w:val="21"/>
                <w:highlight w:val="none"/>
                <w14:textFill>
                  <w14:solidFill>
                    <w14:schemeClr w14:val="tx1"/>
                  </w14:solidFill>
                </w14:textFill>
              </w:rPr>
              <w:t>，%）</w:t>
            </w:r>
          </w:p>
        </w:tc>
        <w:tc>
          <w:tcPr>
            <w:tcW w:w="401" w:type="pct"/>
            <w:tcBorders>
              <w:top w:val="single" w:color="000000" w:sz="4" w:space="0"/>
              <w:left w:val="single" w:color="000000" w:sz="4" w:space="0"/>
              <w:bottom w:val="single" w:color="000000" w:sz="4" w:space="0"/>
              <w:right w:val="single" w:color="000000" w:sz="4" w:space="0"/>
            </w:tcBorders>
            <w:vAlign w:val="center"/>
          </w:tcPr>
          <w:p w14:paraId="2E9A149A">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Ⅰ</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highlight w:val="none"/>
                <w14:textFill>
                  <w14:solidFill>
                    <w14:schemeClr w14:val="tx1"/>
                  </w14:solidFill>
                </w14:textFill>
              </w:rPr>
              <w:t>级</w:t>
            </w:r>
          </w:p>
        </w:tc>
        <w:tc>
          <w:tcPr>
            <w:tcW w:w="998" w:type="pct"/>
            <w:tcBorders>
              <w:top w:val="single" w:color="000000" w:sz="4" w:space="0"/>
              <w:left w:val="nil"/>
              <w:bottom w:val="single" w:color="000000" w:sz="4" w:space="0"/>
              <w:right w:val="single" w:color="000000" w:sz="4" w:space="0"/>
            </w:tcBorders>
            <w:vAlign w:val="center"/>
          </w:tcPr>
          <w:p w14:paraId="3825EEB3">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≤15</w:t>
            </w:r>
          </w:p>
        </w:tc>
        <w:tc>
          <w:tcPr>
            <w:tcW w:w="2672" w:type="pct"/>
            <w:vMerge w:val="restart"/>
            <w:tcBorders>
              <w:top w:val="single" w:color="000000" w:sz="4" w:space="0"/>
              <w:left w:val="nil"/>
              <w:right w:val="single" w:color="000000" w:sz="4" w:space="0"/>
            </w:tcBorders>
            <w:vAlign w:val="center"/>
          </w:tcPr>
          <w:p w14:paraId="12F6CEED">
            <w:pPr>
              <w:ind w:left="0" w:leftChars="0" w:firstLine="420" w:firstLineChars="20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highlight w:val="none"/>
              </w:rPr>
              <w:t>按</w:t>
            </w:r>
            <w:r>
              <w:rPr>
                <w:rFonts w:hint="default" w:ascii="Times New Roman" w:hAnsi="Times New Roman" w:cs="Times New Roman"/>
                <w:highlight w:val="none"/>
                <w:lang w:val="en-US" w:eastAsia="zh-CN"/>
              </w:rPr>
              <w:t>现行国家标准</w:t>
            </w:r>
            <w:r>
              <w:rPr>
                <w:rFonts w:hint="default" w:ascii="Times New Roman" w:hAnsi="Times New Roman" w:cs="Times New Roman"/>
                <w:highlight w:val="none"/>
                <w:lang w:eastAsia="zh-CN"/>
              </w:rPr>
              <w:t>《水泥细度检验方法 筛析法》</w:t>
            </w:r>
            <w:r>
              <w:rPr>
                <w:rFonts w:hint="default" w:ascii="Times New Roman" w:hAnsi="Times New Roman" w:cs="Times New Roman"/>
                <w:highlight w:val="none"/>
              </w:rPr>
              <w:t xml:space="preserve">GB/T </w:t>
            </w:r>
            <w:r>
              <w:rPr>
                <w:rFonts w:hint="default" w:ascii="Times New Roman" w:hAnsi="Times New Roman" w:cs="Times New Roman"/>
                <w:highlight w:val="none"/>
                <w:lang w:val="en-US" w:eastAsia="zh-CN"/>
              </w:rPr>
              <w:t>1345水筛法进行试验</w:t>
            </w:r>
            <w:r>
              <w:rPr>
                <w:rFonts w:hint="default" w:ascii="Times New Roman" w:hAnsi="Times New Roman" w:cs="Times New Roman"/>
                <w:highlight w:val="none"/>
              </w:rPr>
              <w:t>，并将</w:t>
            </w:r>
            <w:r>
              <w:rPr>
                <w:rFonts w:hint="default" w:ascii="Times New Roman" w:hAnsi="Times New Roman" w:cs="Times New Roman"/>
                <w:highlight w:val="none"/>
                <w:lang w:val="en-US" w:eastAsia="zh-CN"/>
              </w:rPr>
              <w:t>水泥</w:t>
            </w:r>
            <w:r>
              <w:rPr>
                <w:rFonts w:hint="default" w:ascii="Times New Roman" w:hAnsi="Times New Roman" w:cs="Times New Roman"/>
                <w:highlight w:val="none"/>
              </w:rPr>
              <w:t>替代为花岗岩石粉后进行测定。</w:t>
            </w:r>
          </w:p>
        </w:tc>
      </w:tr>
      <w:tr w14:paraId="690A0754">
        <w:tblPrEx>
          <w:tblCellMar>
            <w:top w:w="0" w:type="dxa"/>
            <w:left w:w="108" w:type="dxa"/>
            <w:bottom w:w="0" w:type="dxa"/>
            <w:right w:w="108" w:type="dxa"/>
          </w:tblCellMar>
        </w:tblPrEx>
        <w:trPr>
          <w:trHeight w:val="454" w:hRule="atLeast"/>
        </w:trPr>
        <w:tc>
          <w:tcPr>
            <w:tcW w:w="927" w:type="pct"/>
            <w:vMerge w:val="continue"/>
            <w:tcBorders>
              <w:left w:val="single" w:color="000000" w:sz="4" w:space="0"/>
              <w:bottom w:val="single" w:color="000000" w:sz="4" w:space="0"/>
              <w:right w:val="single" w:color="000000" w:sz="4" w:space="0"/>
            </w:tcBorders>
            <w:vAlign w:val="center"/>
          </w:tcPr>
          <w:p w14:paraId="01908EC1">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401" w:type="pct"/>
            <w:tcBorders>
              <w:top w:val="single" w:color="000000" w:sz="4" w:space="0"/>
              <w:left w:val="single" w:color="000000" w:sz="4" w:space="0"/>
              <w:bottom w:val="single" w:color="000000" w:sz="4" w:space="0"/>
              <w:right w:val="single" w:color="000000" w:sz="4" w:space="0"/>
            </w:tcBorders>
            <w:vAlign w:val="center"/>
          </w:tcPr>
          <w:p w14:paraId="3E5722BA">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Ⅱ</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highlight w:val="none"/>
                <w14:textFill>
                  <w14:solidFill>
                    <w14:schemeClr w14:val="tx1"/>
                  </w14:solidFill>
                </w14:textFill>
              </w:rPr>
              <w:t>级</w:t>
            </w:r>
          </w:p>
        </w:tc>
        <w:tc>
          <w:tcPr>
            <w:tcW w:w="998" w:type="pct"/>
            <w:tcBorders>
              <w:top w:val="single" w:color="000000" w:sz="4" w:space="0"/>
              <w:left w:val="nil"/>
              <w:bottom w:val="single" w:color="000000" w:sz="4" w:space="0"/>
              <w:right w:val="single" w:color="000000" w:sz="4" w:space="0"/>
            </w:tcBorders>
            <w:vAlign w:val="center"/>
          </w:tcPr>
          <w:p w14:paraId="75367F2D">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≤30，＞15</w:t>
            </w:r>
          </w:p>
        </w:tc>
        <w:tc>
          <w:tcPr>
            <w:tcW w:w="2672" w:type="pct"/>
            <w:vMerge w:val="continue"/>
            <w:tcBorders>
              <w:left w:val="nil"/>
              <w:bottom w:val="single" w:color="auto" w:sz="4" w:space="0"/>
              <w:right w:val="single" w:color="000000" w:sz="4" w:space="0"/>
            </w:tcBorders>
            <w:vAlign w:val="center"/>
          </w:tcPr>
          <w:p w14:paraId="5C482EBE">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r>
      <w:tr w14:paraId="06AD006A">
        <w:tblPrEx>
          <w:tblCellMar>
            <w:top w:w="0" w:type="dxa"/>
            <w:left w:w="108" w:type="dxa"/>
            <w:bottom w:w="0" w:type="dxa"/>
            <w:right w:w="108" w:type="dxa"/>
          </w:tblCellMar>
        </w:tblPrEx>
        <w:trPr>
          <w:trHeight w:val="454" w:hRule="atLeast"/>
        </w:trPr>
        <w:tc>
          <w:tcPr>
            <w:tcW w:w="927" w:type="pct"/>
            <w:vMerge w:val="restart"/>
            <w:tcBorders>
              <w:top w:val="single" w:color="auto" w:sz="4" w:space="0"/>
              <w:left w:val="single" w:color="auto" w:sz="4" w:space="0"/>
              <w:bottom w:val="single" w:color="000000" w:sz="4" w:space="0"/>
              <w:right w:val="single" w:color="000000" w:sz="4" w:space="0"/>
            </w:tcBorders>
            <w:vAlign w:val="center"/>
          </w:tcPr>
          <w:p w14:paraId="437CFC92">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抗压强度比（%）</w:t>
            </w:r>
          </w:p>
        </w:tc>
        <w:tc>
          <w:tcPr>
            <w:tcW w:w="401" w:type="pct"/>
            <w:tcBorders>
              <w:top w:val="single" w:color="auto" w:sz="4" w:space="0"/>
              <w:left w:val="nil"/>
              <w:bottom w:val="single" w:color="000000" w:sz="4" w:space="0"/>
              <w:right w:val="single" w:color="000000" w:sz="4" w:space="0"/>
            </w:tcBorders>
            <w:vAlign w:val="center"/>
          </w:tcPr>
          <w:p w14:paraId="79884847">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7d</w:t>
            </w:r>
          </w:p>
        </w:tc>
        <w:tc>
          <w:tcPr>
            <w:tcW w:w="998" w:type="pct"/>
            <w:tcBorders>
              <w:top w:val="single" w:color="auto" w:sz="4" w:space="0"/>
              <w:left w:val="nil"/>
              <w:bottom w:val="single" w:color="000000" w:sz="4" w:space="0"/>
              <w:right w:val="single" w:color="auto" w:sz="4" w:space="0"/>
            </w:tcBorders>
            <w:vAlign w:val="center"/>
          </w:tcPr>
          <w:p w14:paraId="2F9E2D10">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≥60</w:t>
            </w:r>
          </w:p>
        </w:tc>
        <w:tc>
          <w:tcPr>
            <w:tcW w:w="2672" w:type="pct"/>
            <w:vMerge w:val="restart"/>
            <w:tcBorders>
              <w:top w:val="single" w:color="auto" w:sz="4" w:space="0"/>
              <w:left w:val="single" w:color="auto" w:sz="4" w:space="0"/>
              <w:bottom w:val="single" w:color="auto" w:sz="4" w:space="0"/>
              <w:right w:val="single" w:color="auto" w:sz="4" w:space="0"/>
            </w:tcBorders>
            <w:vAlign w:val="center"/>
          </w:tcPr>
          <w:p w14:paraId="5504CD1B">
            <w:pPr>
              <w:ind w:left="0" w:leftChars="0" w:firstLine="420" w:firstLineChars="20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highlight w:val="none"/>
              </w:rPr>
              <w:t>按</w:t>
            </w:r>
            <w:r>
              <w:rPr>
                <w:rFonts w:hint="default" w:ascii="Times New Roman" w:hAnsi="Times New Roman" w:cs="Times New Roman"/>
                <w:highlight w:val="none"/>
                <w:lang w:val="en-US" w:eastAsia="zh-CN"/>
              </w:rPr>
              <w:t>现行国家标准</w:t>
            </w:r>
            <w:r>
              <w:rPr>
                <w:rFonts w:hint="default" w:ascii="Times New Roman" w:hAnsi="Times New Roman" w:cs="Times New Roman"/>
                <w:highlight w:val="none"/>
                <w:lang w:eastAsia="zh-CN"/>
              </w:rPr>
              <w:t>《</w:t>
            </w:r>
            <w:r>
              <w:rPr>
                <w:rFonts w:hint="default" w:ascii="Times New Roman" w:hAnsi="Times New Roman" w:cs="Times New Roman"/>
                <w:color w:val="000000" w:themeColor="text1"/>
                <w:highlight w:val="none"/>
                <w:lang w:val="en-US" w:eastAsia="zh-CN"/>
                <w14:textFill>
                  <w14:solidFill>
                    <w14:schemeClr w14:val="tx1"/>
                  </w14:solidFill>
                </w14:textFill>
              </w:rPr>
              <w:t>用于水泥、砂浆和混凝土中的石灰石粉</w:t>
            </w:r>
            <w:r>
              <w:rPr>
                <w:rFonts w:hint="default" w:ascii="Times New Roman" w:hAnsi="Times New Roman" w:cs="Times New Roman"/>
                <w:highlight w:val="none"/>
                <w:lang w:eastAsia="zh-CN"/>
              </w:rPr>
              <w:t>》</w:t>
            </w:r>
            <w:r>
              <w:rPr>
                <w:rFonts w:hint="default" w:ascii="Times New Roman" w:hAnsi="Times New Roman" w:cs="Times New Roman"/>
                <w:highlight w:val="none"/>
              </w:rPr>
              <w:t xml:space="preserve">GB/T </w:t>
            </w:r>
            <w:r>
              <w:rPr>
                <w:rFonts w:hint="default" w:ascii="Times New Roman" w:hAnsi="Times New Roman" w:cs="Times New Roman"/>
                <w:highlight w:val="none"/>
                <w:lang w:val="en-US" w:eastAsia="zh-CN"/>
              </w:rPr>
              <w:t>35164进行试验</w:t>
            </w:r>
            <w:r>
              <w:rPr>
                <w:rFonts w:hint="default" w:ascii="Times New Roman" w:hAnsi="Times New Roman" w:cs="Times New Roman"/>
                <w:highlight w:val="none"/>
              </w:rPr>
              <w:t>，并将石灰石粉替代为花岗岩石粉后进行测定</w:t>
            </w:r>
          </w:p>
        </w:tc>
      </w:tr>
      <w:tr w14:paraId="6EC44A42">
        <w:tblPrEx>
          <w:tblCellMar>
            <w:top w:w="0" w:type="dxa"/>
            <w:left w:w="108" w:type="dxa"/>
            <w:bottom w:w="0" w:type="dxa"/>
            <w:right w:w="108" w:type="dxa"/>
          </w:tblCellMar>
        </w:tblPrEx>
        <w:trPr>
          <w:trHeight w:val="454" w:hRule="atLeast"/>
        </w:trPr>
        <w:tc>
          <w:tcPr>
            <w:tcW w:w="927" w:type="pct"/>
            <w:vMerge w:val="continue"/>
            <w:tcBorders>
              <w:top w:val="nil"/>
              <w:left w:val="single" w:color="auto" w:sz="4" w:space="0"/>
              <w:bottom w:val="single" w:color="auto" w:sz="4" w:space="0"/>
              <w:right w:val="single" w:color="000000" w:sz="4" w:space="0"/>
            </w:tcBorders>
            <w:vAlign w:val="center"/>
          </w:tcPr>
          <w:p w14:paraId="66C5ACE6">
            <w:pPr>
              <w:widowControl/>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401" w:type="pct"/>
            <w:tcBorders>
              <w:top w:val="single" w:color="000000" w:sz="4" w:space="0"/>
              <w:left w:val="nil"/>
              <w:bottom w:val="single" w:color="auto" w:sz="4" w:space="0"/>
              <w:right w:val="single" w:color="000000" w:sz="4" w:space="0"/>
            </w:tcBorders>
            <w:vAlign w:val="center"/>
          </w:tcPr>
          <w:p w14:paraId="0CC53C7D">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28d</w:t>
            </w:r>
          </w:p>
        </w:tc>
        <w:tc>
          <w:tcPr>
            <w:tcW w:w="998" w:type="pct"/>
            <w:tcBorders>
              <w:top w:val="single" w:color="000000" w:sz="4" w:space="0"/>
              <w:left w:val="nil"/>
              <w:bottom w:val="single" w:color="auto" w:sz="4" w:space="0"/>
              <w:right w:val="single" w:color="auto" w:sz="4" w:space="0"/>
            </w:tcBorders>
            <w:vAlign w:val="center"/>
          </w:tcPr>
          <w:p w14:paraId="5876B8C1">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≥60</w:t>
            </w:r>
          </w:p>
        </w:tc>
        <w:tc>
          <w:tcPr>
            <w:tcW w:w="2672" w:type="pct"/>
            <w:vMerge w:val="continue"/>
            <w:tcBorders>
              <w:top w:val="single" w:color="auto" w:sz="4" w:space="0"/>
              <w:left w:val="single" w:color="auto" w:sz="4" w:space="0"/>
              <w:bottom w:val="single" w:color="auto" w:sz="4" w:space="0"/>
              <w:right w:val="single" w:color="auto" w:sz="4" w:space="0"/>
            </w:tcBorders>
            <w:vAlign w:val="center"/>
          </w:tcPr>
          <w:p w14:paraId="6211EF35">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r>
      <w:tr w14:paraId="4D5B8C24">
        <w:tblPrEx>
          <w:tblCellMar>
            <w:top w:w="0" w:type="dxa"/>
            <w:left w:w="108" w:type="dxa"/>
            <w:bottom w:w="0" w:type="dxa"/>
            <w:right w:w="108" w:type="dxa"/>
          </w:tblCellMar>
        </w:tblPrEx>
        <w:trPr>
          <w:trHeight w:val="454" w:hRule="atLeast"/>
        </w:trPr>
        <w:tc>
          <w:tcPr>
            <w:tcW w:w="1328" w:type="pct"/>
            <w:gridSpan w:val="2"/>
            <w:tcBorders>
              <w:top w:val="single" w:color="auto" w:sz="4" w:space="0"/>
              <w:left w:val="single" w:color="000000" w:sz="4" w:space="0"/>
              <w:bottom w:val="single" w:color="000000" w:sz="4" w:space="0"/>
              <w:right w:val="single" w:color="000000" w:sz="4" w:space="0"/>
            </w:tcBorders>
            <w:vAlign w:val="center"/>
          </w:tcPr>
          <w:p w14:paraId="19B72D41">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流动度比（%）</w:t>
            </w:r>
          </w:p>
        </w:tc>
        <w:tc>
          <w:tcPr>
            <w:tcW w:w="998" w:type="pct"/>
            <w:tcBorders>
              <w:top w:val="single" w:color="auto" w:sz="4" w:space="0"/>
              <w:left w:val="nil"/>
              <w:bottom w:val="single" w:color="000000" w:sz="4" w:space="0"/>
              <w:right w:val="single" w:color="auto" w:sz="4" w:space="0"/>
            </w:tcBorders>
            <w:vAlign w:val="center"/>
          </w:tcPr>
          <w:p w14:paraId="0188D473">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≥80</w:t>
            </w:r>
          </w:p>
        </w:tc>
        <w:tc>
          <w:tcPr>
            <w:tcW w:w="2672" w:type="pct"/>
            <w:vMerge w:val="continue"/>
            <w:tcBorders>
              <w:top w:val="single" w:color="auto" w:sz="4" w:space="0"/>
              <w:left w:val="single" w:color="auto" w:sz="4" w:space="0"/>
              <w:bottom w:val="single" w:color="auto" w:sz="4" w:space="0"/>
              <w:right w:val="single" w:color="auto" w:sz="4" w:space="0"/>
            </w:tcBorders>
            <w:vAlign w:val="center"/>
          </w:tcPr>
          <w:p w14:paraId="52FD4E98">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r>
      <w:tr w14:paraId="21A306E2">
        <w:tblPrEx>
          <w:tblCellMar>
            <w:top w:w="0" w:type="dxa"/>
            <w:left w:w="108" w:type="dxa"/>
            <w:bottom w:w="0" w:type="dxa"/>
            <w:right w:w="108" w:type="dxa"/>
          </w:tblCellMar>
        </w:tblPrEx>
        <w:trPr>
          <w:trHeight w:val="454" w:hRule="atLeast"/>
        </w:trPr>
        <w:tc>
          <w:tcPr>
            <w:tcW w:w="1328" w:type="pct"/>
            <w:gridSpan w:val="2"/>
            <w:tcBorders>
              <w:top w:val="single" w:color="000000" w:sz="4" w:space="0"/>
              <w:left w:val="single" w:color="000000" w:sz="4" w:space="0"/>
              <w:bottom w:val="single" w:color="000000" w:sz="4" w:space="0"/>
              <w:right w:val="single" w:color="000000" w:sz="4" w:space="0"/>
            </w:tcBorders>
            <w:vAlign w:val="center"/>
          </w:tcPr>
          <w:p w14:paraId="58AFF423">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含水量（%）</w:t>
            </w:r>
          </w:p>
        </w:tc>
        <w:tc>
          <w:tcPr>
            <w:tcW w:w="998" w:type="pct"/>
            <w:tcBorders>
              <w:top w:val="single" w:color="000000" w:sz="4" w:space="0"/>
              <w:left w:val="nil"/>
              <w:bottom w:val="single" w:color="000000" w:sz="4" w:space="0"/>
              <w:right w:val="single" w:color="auto" w:sz="4" w:space="0"/>
            </w:tcBorders>
            <w:vAlign w:val="center"/>
          </w:tcPr>
          <w:p w14:paraId="0BE124D4">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≤1.0</w:t>
            </w:r>
          </w:p>
        </w:tc>
        <w:tc>
          <w:tcPr>
            <w:tcW w:w="2672" w:type="pct"/>
            <w:vMerge w:val="continue"/>
            <w:tcBorders>
              <w:top w:val="single" w:color="auto" w:sz="4" w:space="0"/>
              <w:left w:val="single" w:color="auto" w:sz="4" w:space="0"/>
              <w:bottom w:val="single" w:color="auto" w:sz="4" w:space="0"/>
              <w:right w:val="single" w:color="auto" w:sz="4" w:space="0"/>
            </w:tcBorders>
            <w:vAlign w:val="center"/>
          </w:tcPr>
          <w:p w14:paraId="57B03E8A">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r>
      <w:tr w14:paraId="3B9A51D8">
        <w:tblPrEx>
          <w:tblCellMar>
            <w:top w:w="0" w:type="dxa"/>
            <w:left w:w="108" w:type="dxa"/>
            <w:bottom w:w="0" w:type="dxa"/>
            <w:right w:w="108" w:type="dxa"/>
          </w:tblCellMar>
        </w:tblPrEx>
        <w:trPr>
          <w:trHeight w:val="454" w:hRule="atLeast"/>
        </w:trPr>
        <w:tc>
          <w:tcPr>
            <w:tcW w:w="1328" w:type="pct"/>
            <w:gridSpan w:val="2"/>
            <w:tcBorders>
              <w:top w:val="single" w:color="auto" w:sz="4" w:space="0"/>
              <w:left w:val="single" w:color="000000" w:sz="4" w:space="0"/>
              <w:bottom w:val="single" w:color="000000" w:sz="4" w:space="0"/>
              <w:right w:val="single" w:color="000000" w:sz="4" w:space="0"/>
            </w:tcBorders>
            <w:vAlign w:val="center"/>
          </w:tcPr>
          <w:p w14:paraId="2089BF60">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MB</w:t>
            </w:r>
            <w:r>
              <w:rPr>
                <w:rFonts w:hint="default" w:ascii="Times New Roman" w:hAnsi="Times New Roman" w:eastAsia="宋体" w:cs="Times New Roman"/>
                <w:color w:val="000000" w:themeColor="text1"/>
                <w:sz w:val="21"/>
                <w:szCs w:val="21"/>
                <w:highlight w:val="none"/>
                <w:vertAlign w:val="subscript"/>
                <w:lang w:val="en-US" w:eastAsia="zh-CN"/>
                <w14:textFill>
                  <w14:solidFill>
                    <w14:schemeClr w14:val="tx1"/>
                  </w14:solidFill>
                </w14:textFill>
              </w:rPr>
              <w:t>F</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值</w:t>
            </w:r>
            <w:r>
              <w:rPr>
                <w:rFonts w:hint="default" w:ascii="Times New Roman" w:hAnsi="Times New Roman" w:eastAsia="宋体" w:cs="Times New Roman"/>
                <w:color w:val="000000" w:themeColor="text1"/>
                <w:sz w:val="21"/>
                <w:szCs w:val="21"/>
                <w:highlight w:val="none"/>
                <w14:textFill>
                  <w14:solidFill>
                    <w14:schemeClr w14:val="tx1"/>
                  </w14:solidFill>
                </w14:textFill>
              </w:rPr>
              <w:t>（g/kg）</w:t>
            </w:r>
          </w:p>
        </w:tc>
        <w:tc>
          <w:tcPr>
            <w:tcW w:w="998" w:type="pct"/>
            <w:tcBorders>
              <w:top w:val="single" w:color="000000" w:sz="4" w:space="0"/>
              <w:left w:val="nil"/>
              <w:bottom w:val="single" w:color="000000" w:sz="4" w:space="0"/>
              <w:right w:val="single" w:color="auto" w:sz="4" w:space="0"/>
            </w:tcBorders>
            <w:vAlign w:val="center"/>
          </w:tcPr>
          <w:p w14:paraId="2BB98B83">
            <w:pPr>
              <w:ind w:left="0" w:leftChars="0" w:firstLine="0" w:firstLineChars="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5.6</w:t>
            </w:r>
          </w:p>
        </w:tc>
        <w:tc>
          <w:tcPr>
            <w:tcW w:w="2672" w:type="pct"/>
            <w:tcBorders>
              <w:top w:val="single" w:color="auto" w:sz="4" w:space="0"/>
              <w:left w:val="single" w:color="auto" w:sz="4" w:space="0"/>
              <w:bottom w:val="single" w:color="auto" w:sz="4" w:space="0"/>
              <w:right w:val="single" w:color="auto" w:sz="4" w:space="0"/>
            </w:tcBorders>
            <w:vAlign w:val="center"/>
          </w:tcPr>
          <w:p w14:paraId="312A8829">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按附录A进行试验</w:t>
            </w:r>
          </w:p>
        </w:tc>
      </w:tr>
      <w:tr w14:paraId="3A1A17B7">
        <w:tblPrEx>
          <w:tblCellMar>
            <w:top w:w="0" w:type="dxa"/>
            <w:left w:w="108" w:type="dxa"/>
            <w:bottom w:w="0" w:type="dxa"/>
            <w:right w:w="108" w:type="dxa"/>
          </w:tblCellMar>
        </w:tblPrEx>
        <w:trPr>
          <w:trHeight w:val="454" w:hRule="atLeast"/>
        </w:trPr>
        <w:tc>
          <w:tcPr>
            <w:tcW w:w="1328" w:type="pct"/>
            <w:gridSpan w:val="2"/>
            <w:tcBorders>
              <w:top w:val="single" w:color="000000" w:sz="4" w:space="0"/>
              <w:left w:val="single" w:color="000000" w:sz="4" w:space="0"/>
              <w:bottom w:val="single" w:color="000000" w:sz="4" w:space="0"/>
              <w:right w:val="single" w:color="000000" w:sz="4" w:space="0"/>
            </w:tcBorders>
            <w:vAlign w:val="center"/>
          </w:tcPr>
          <w:p w14:paraId="1C437A65">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氯离子含量（%）</w:t>
            </w:r>
          </w:p>
        </w:tc>
        <w:tc>
          <w:tcPr>
            <w:tcW w:w="998" w:type="pct"/>
            <w:tcBorders>
              <w:top w:val="single" w:color="000000" w:sz="4" w:space="0"/>
              <w:left w:val="nil"/>
              <w:bottom w:val="single" w:color="000000" w:sz="4" w:space="0"/>
              <w:right w:val="single" w:color="000000" w:sz="4" w:space="0"/>
            </w:tcBorders>
            <w:vAlign w:val="center"/>
          </w:tcPr>
          <w:p w14:paraId="0C27349C">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≤0.06</w:t>
            </w:r>
          </w:p>
        </w:tc>
        <w:tc>
          <w:tcPr>
            <w:tcW w:w="2672" w:type="pct"/>
            <w:vMerge w:val="restart"/>
            <w:tcBorders>
              <w:top w:val="single" w:color="auto" w:sz="4" w:space="0"/>
              <w:left w:val="nil"/>
              <w:bottom w:val="single" w:color="auto" w:sz="4" w:space="0"/>
              <w:right w:val="single" w:color="000000" w:sz="4" w:space="0"/>
            </w:tcBorders>
            <w:vAlign w:val="center"/>
          </w:tcPr>
          <w:p w14:paraId="0D7B2F70">
            <w:pPr>
              <w:ind w:left="0" w:leftChars="0" w:firstLine="420" w:firstLineChars="20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按</w:t>
            </w:r>
            <w:r>
              <w:rPr>
                <w:rFonts w:hint="default" w:ascii="Times New Roman" w:hAnsi="Times New Roman" w:cs="Times New Roman"/>
                <w:highlight w:val="none"/>
                <w:lang w:val="en-US" w:eastAsia="zh-CN"/>
              </w:rPr>
              <w:t>现行国家标准</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default" w:ascii="Times New Roman" w:hAnsi="Times New Roman" w:eastAsia="宋体" w:cs="Times New Roman"/>
                <w:color w:val="000000" w:themeColor="text1"/>
                <w:szCs w:val="21"/>
                <w:highlight w:val="none"/>
                <w14:textFill>
                  <w14:solidFill>
                    <w14:schemeClr w14:val="tx1"/>
                  </w14:solidFill>
                </w14:textFill>
              </w:rPr>
              <w:t>水泥化学分析方法</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14:textFill>
                  <w14:solidFill>
                    <w14:schemeClr w14:val="tx1"/>
                  </w14:solidFill>
                </w14:textFill>
              </w:rPr>
              <w:t>GB/T 176进行</w:t>
            </w:r>
            <w:r>
              <w:rPr>
                <w:rFonts w:hint="default" w:ascii="Times New Roman" w:hAnsi="Times New Roman" w:cs="Times New Roman"/>
                <w:highlight w:val="none"/>
                <w:lang w:val="en-US" w:eastAsia="zh-CN"/>
              </w:rPr>
              <w:t>试验</w:t>
            </w:r>
          </w:p>
        </w:tc>
      </w:tr>
      <w:tr w14:paraId="12048994">
        <w:tblPrEx>
          <w:tblCellMar>
            <w:top w:w="0" w:type="dxa"/>
            <w:left w:w="108" w:type="dxa"/>
            <w:bottom w:w="0" w:type="dxa"/>
            <w:right w:w="108" w:type="dxa"/>
          </w:tblCellMar>
        </w:tblPrEx>
        <w:trPr>
          <w:trHeight w:val="454" w:hRule="atLeast"/>
        </w:trPr>
        <w:tc>
          <w:tcPr>
            <w:tcW w:w="1328" w:type="pct"/>
            <w:gridSpan w:val="2"/>
            <w:tcBorders>
              <w:top w:val="single" w:color="000000" w:sz="4" w:space="0"/>
              <w:left w:val="single" w:color="000000" w:sz="4" w:space="0"/>
              <w:bottom w:val="single" w:color="000000" w:sz="4" w:space="0"/>
              <w:right w:val="single" w:color="000000" w:sz="4" w:space="0"/>
            </w:tcBorders>
            <w:vAlign w:val="center"/>
          </w:tcPr>
          <w:p w14:paraId="70B39C7F">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三氧化硫含量（%）</w:t>
            </w:r>
          </w:p>
        </w:tc>
        <w:tc>
          <w:tcPr>
            <w:tcW w:w="998" w:type="pct"/>
            <w:tcBorders>
              <w:top w:val="single" w:color="000000" w:sz="4" w:space="0"/>
              <w:left w:val="nil"/>
              <w:bottom w:val="single" w:color="000000" w:sz="4" w:space="0"/>
              <w:right w:val="single" w:color="000000" w:sz="4" w:space="0"/>
            </w:tcBorders>
            <w:vAlign w:val="center"/>
          </w:tcPr>
          <w:p w14:paraId="0AC89494">
            <w:pPr>
              <w:ind w:left="0" w:leftChars="0" w:firstLine="0" w:firstLineChars="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≤3.5</w:t>
            </w:r>
          </w:p>
        </w:tc>
        <w:tc>
          <w:tcPr>
            <w:tcW w:w="2672" w:type="pct"/>
            <w:vMerge w:val="continue"/>
            <w:tcBorders>
              <w:top w:val="single" w:color="auto" w:sz="4" w:space="0"/>
              <w:left w:val="nil"/>
              <w:bottom w:val="single" w:color="auto" w:sz="4" w:space="0"/>
              <w:right w:val="single" w:color="000000" w:sz="4" w:space="0"/>
            </w:tcBorders>
            <w:vAlign w:val="center"/>
          </w:tcPr>
          <w:p w14:paraId="45975DED">
            <w:pPr>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r>
    </w:tbl>
    <w:p w14:paraId="5BD55E19">
      <w:pPr>
        <w:pStyle w:val="44"/>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b/>
          <w:bCs/>
          <w:color w:val="000000"/>
          <w:kern w:val="2"/>
          <w:sz w:val="24"/>
          <w:szCs w:val="24"/>
          <w:highlight w:val="none"/>
          <w:lang w:val="en-US" w:eastAsia="zh-CN" w:bidi="ar-SA"/>
        </w:rPr>
        <w:t xml:space="preserve">3.1.3 </w:t>
      </w:r>
      <w:r>
        <w:rPr>
          <w:rFonts w:hint="default" w:ascii="Times New Roman" w:hAnsi="Times New Roman" w:eastAsia="宋体" w:cs="Times New Roman"/>
          <w:b w:val="0"/>
          <w:bCs w:val="0"/>
          <w:color w:val="000000"/>
          <w:kern w:val="2"/>
          <w:sz w:val="24"/>
          <w:szCs w:val="24"/>
          <w:highlight w:val="none"/>
          <w:lang w:val="en-US" w:eastAsia="zh-CN" w:bidi="ar-SA"/>
        </w:rPr>
        <w:t>花岗岩石粉中的碱含量应按Na</w:t>
      </w:r>
      <w:r>
        <w:rPr>
          <w:rFonts w:hint="default" w:ascii="Times New Roman" w:hAnsi="Times New Roman" w:eastAsia="宋体" w:cs="Times New Roman"/>
          <w:b w:val="0"/>
          <w:bCs w:val="0"/>
          <w:color w:val="000000"/>
          <w:kern w:val="2"/>
          <w:sz w:val="24"/>
          <w:szCs w:val="24"/>
          <w:highlight w:val="none"/>
          <w:vertAlign w:val="subscript"/>
          <w:lang w:val="en-US" w:eastAsia="zh-CN" w:bidi="ar-SA"/>
        </w:rPr>
        <w:t>2</w:t>
      </w:r>
      <w:r>
        <w:rPr>
          <w:rFonts w:hint="default" w:ascii="Times New Roman" w:hAnsi="Times New Roman" w:eastAsia="宋体" w:cs="Times New Roman"/>
          <w:b w:val="0"/>
          <w:bCs w:val="0"/>
          <w:color w:val="000000"/>
          <w:kern w:val="2"/>
          <w:sz w:val="24"/>
          <w:szCs w:val="24"/>
          <w:highlight w:val="none"/>
          <w:lang w:val="en-US" w:eastAsia="zh-CN" w:bidi="ar-SA"/>
        </w:rPr>
        <w:t>O当量计，以Na</w:t>
      </w:r>
      <w:r>
        <w:rPr>
          <w:rFonts w:hint="default" w:ascii="Times New Roman" w:hAnsi="Times New Roman" w:eastAsia="宋体" w:cs="Times New Roman"/>
          <w:b w:val="0"/>
          <w:bCs w:val="0"/>
          <w:color w:val="000000"/>
          <w:kern w:val="2"/>
          <w:sz w:val="24"/>
          <w:szCs w:val="24"/>
          <w:highlight w:val="none"/>
          <w:vertAlign w:val="subscript"/>
          <w:lang w:val="en-US" w:eastAsia="zh-CN" w:bidi="ar-SA"/>
        </w:rPr>
        <w:t>2</w:t>
      </w:r>
      <w:r>
        <w:rPr>
          <w:rFonts w:hint="default" w:ascii="Times New Roman" w:hAnsi="Times New Roman" w:eastAsia="宋体" w:cs="Times New Roman"/>
          <w:b w:val="0"/>
          <w:bCs w:val="0"/>
          <w:color w:val="000000"/>
          <w:kern w:val="2"/>
          <w:sz w:val="24"/>
          <w:szCs w:val="24"/>
          <w:highlight w:val="none"/>
          <w:lang w:val="en-US" w:eastAsia="zh-CN" w:bidi="ar-SA"/>
        </w:rPr>
        <w:t>O+0.658K</w:t>
      </w:r>
      <w:r>
        <w:rPr>
          <w:rFonts w:hint="default" w:ascii="Times New Roman" w:hAnsi="Times New Roman" w:eastAsia="宋体" w:cs="Times New Roman"/>
          <w:b w:val="0"/>
          <w:bCs w:val="0"/>
          <w:color w:val="000000"/>
          <w:kern w:val="2"/>
          <w:sz w:val="24"/>
          <w:szCs w:val="24"/>
          <w:highlight w:val="none"/>
          <w:vertAlign w:val="subscript"/>
          <w:lang w:val="en-US" w:eastAsia="zh-CN" w:bidi="ar-SA"/>
        </w:rPr>
        <w:t>2</w:t>
      </w:r>
      <w:r>
        <w:rPr>
          <w:rFonts w:hint="default" w:ascii="Times New Roman" w:hAnsi="Times New Roman" w:eastAsia="宋体" w:cs="Times New Roman"/>
          <w:b w:val="0"/>
          <w:bCs w:val="0"/>
          <w:color w:val="000000"/>
          <w:kern w:val="2"/>
          <w:sz w:val="24"/>
          <w:szCs w:val="24"/>
          <w:highlight w:val="none"/>
          <w:lang w:val="en-US" w:eastAsia="zh-CN" w:bidi="ar-SA"/>
        </w:rPr>
        <w:t>O计算值表示。当花岗岩石粉应用中有碱含量要求时，由供需双方协商确定是否采用</w:t>
      </w:r>
      <w:r>
        <w:rPr>
          <w:rFonts w:hint="eastAsia" w:ascii="Times New Roman" w:hAnsi="Times New Roman" w:eastAsia="宋体" w:cs="Times New Roman"/>
          <w:b w:val="0"/>
          <w:bCs w:val="0"/>
          <w:color w:val="000000"/>
          <w:kern w:val="2"/>
          <w:sz w:val="24"/>
          <w:szCs w:val="24"/>
          <w:highlight w:val="none"/>
          <w:lang w:val="en-US" w:eastAsia="zh-CN" w:bidi="ar-SA"/>
        </w:rPr>
        <w:t>。</w:t>
      </w:r>
      <w:r>
        <w:rPr>
          <w:rFonts w:hint="default" w:ascii="Times New Roman" w:hAnsi="Times New Roman" w:eastAsia="宋体" w:cs="Times New Roman"/>
          <w:b w:val="0"/>
          <w:bCs w:val="0"/>
          <w:color w:val="000000"/>
          <w:kern w:val="2"/>
          <w:sz w:val="24"/>
          <w:szCs w:val="24"/>
          <w:highlight w:val="none"/>
          <w:lang w:val="en-US" w:eastAsia="zh-CN" w:bidi="ar-SA"/>
        </w:rPr>
        <w:t>花岗岩石粉Na</w:t>
      </w:r>
      <w:r>
        <w:rPr>
          <w:rFonts w:hint="default" w:ascii="Times New Roman" w:hAnsi="Times New Roman" w:eastAsia="宋体" w:cs="Times New Roman"/>
          <w:b w:val="0"/>
          <w:bCs w:val="0"/>
          <w:color w:val="000000"/>
          <w:kern w:val="2"/>
          <w:sz w:val="24"/>
          <w:szCs w:val="24"/>
          <w:highlight w:val="none"/>
          <w:vertAlign w:val="subscript"/>
          <w:lang w:val="en-US" w:eastAsia="zh-CN" w:bidi="ar-SA"/>
        </w:rPr>
        <w:t>2</w:t>
      </w:r>
      <w:r>
        <w:rPr>
          <w:rFonts w:hint="default" w:ascii="Times New Roman" w:hAnsi="Times New Roman" w:eastAsia="宋体" w:cs="Times New Roman"/>
          <w:b w:val="0"/>
          <w:bCs w:val="0"/>
          <w:color w:val="000000"/>
          <w:kern w:val="2"/>
          <w:sz w:val="24"/>
          <w:szCs w:val="24"/>
          <w:highlight w:val="none"/>
          <w:lang w:val="en-US" w:eastAsia="zh-CN" w:bidi="ar-SA"/>
        </w:rPr>
        <w:t>O和K</w:t>
      </w:r>
      <w:r>
        <w:rPr>
          <w:rFonts w:hint="default" w:ascii="Times New Roman" w:hAnsi="Times New Roman" w:eastAsia="宋体" w:cs="Times New Roman"/>
          <w:b w:val="0"/>
          <w:bCs w:val="0"/>
          <w:color w:val="000000"/>
          <w:kern w:val="2"/>
          <w:sz w:val="24"/>
          <w:szCs w:val="24"/>
          <w:highlight w:val="none"/>
          <w:vertAlign w:val="subscript"/>
          <w:lang w:val="en-US" w:eastAsia="zh-CN" w:bidi="ar-SA"/>
        </w:rPr>
        <w:t>2</w:t>
      </w:r>
      <w:r>
        <w:rPr>
          <w:rFonts w:hint="default" w:ascii="Times New Roman" w:hAnsi="Times New Roman" w:eastAsia="宋体" w:cs="Times New Roman"/>
          <w:b w:val="0"/>
          <w:bCs w:val="0"/>
          <w:color w:val="000000"/>
          <w:kern w:val="2"/>
          <w:sz w:val="24"/>
          <w:szCs w:val="24"/>
          <w:highlight w:val="none"/>
          <w:lang w:val="en-US" w:eastAsia="zh-CN" w:bidi="ar-SA"/>
        </w:rPr>
        <w:t>O含量的检验方法应按现行国家标准《水泥化学分析方法》GB/T 176的有关规定进行测试。</w:t>
      </w:r>
    </w:p>
    <w:p w14:paraId="3153D7D2">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8" w:name="_Toc8229"/>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3.2 混凝土其他原材料</w:t>
      </w:r>
      <w:bookmarkEnd w:id="28"/>
    </w:p>
    <w:p w14:paraId="23BC9011">
      <w:pPr>
        <w:keepNext w:val="0"/>
        <w:keepLines w:val="0"/>
        <w:pageBreakBefore w:val="0"/>
        <w:widowControl/>
        <w:numPr>
          <w:ilvl w:val="0"/>
          <w:numId w:val="7"/>
        </w:numPr>
        <w:tabs>
          <w:tab w:val="clear" w:pos="0"/>
        </w:tabs>
        <w:kinsoku/>
        <w:wordWrap/>
        <w:overflowPunct/>
        <w:topLinePunct w:val="0"/>
        <w:bidi w:val="0"/>
        <w:adjustRightInd/>
        <w:snapToGrid/>
        <w:spacing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color w:val="000000"/>
          <w:kern w:val="2"/>
          <w:sz w:val="24"/>
          <w:szCs w:val="24"/>
          <w:highlight w:val="none"/>
          <w:lang w:val="en-US" w:eastAsia="zh-CN" w:bidi="ar-SA"/>
        </w:rPr>
        <w:t>水泥宜采用硅酸盐水泥、普通硅酸盐水泥，水泥应符合</w:t>
      </w:r>
      <w:r>
        <w:rPr>
          <w:rFonts w:hint="eastAsia" w:ascii="Times New Roman" w:hAnsi="Times New Roman" w:eastAsia="宋体" w:cs="Times New Roman"/>
          <w:color w:val="000000"/>
          <w:kern w:val="2"/>
          <w:sz w:val="24"/>
          <w:szCs w:val="24"/>
          <w:highlight w:val="none"/>
          <w:lang w:val="en-US" w:eastAsia="zh-CN" w:bidi="ar-SA"/>
        </w:rPr>
        <w:t>《通用硅酸盐水泥》</w:t>
      </w:r>
      <w:r>
        <w:rPr>
          <w:rFonts w:hint="default" w:ascii="Times New Roman" w:hAnsi="Times New Roman" w:eastAsia="宋体" w:cs="Times New Roman"/>
          <w:color w:val="000000"/>
          <w:kern w:val="2"/>
          <w:sz w:val="24"/>
          <w:szCs w:val="24"/>
          <w:highlight w:val="none"/>
          <w:lang w:val="en-US" w:eastAsia="zh-CN" w:bidi="ar-SA"/>
        </w:rPr>
        <w:t>GB 175的规定。</w:t>
      </w:r>
    </w:p>
    <w:p w14:paraId="49BBAB69">
      <w:pPr>
        <w:pStyle w:val="44"/>
        <w:keepNext w:val="0"/>
        <w:keepLines w:val="0"/>
        <w:pageBreakBefore w:val="0"/>
        <w:widowControl/>
        <w:numPr>
          <w:ilvl w:val="0"/>
          <w:numId w:val="7"/>
        </w:numPr>
        <w:tabs>
          <w:tab w:val="clear" w:pos="0"/>
        </w:tabs>
        <w:kinsoku/>
        <w:wordWrap/>
        <w:overflowPunct/>
        <w:topLinePunct w:val="0"/>
        <w:autoSpaceDE/>
        <w:autoSpaceDN/>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color w:val="000000"/>
          <w:kern w:val="2"/>
          <w:sz w:val="24"/>
          <w:szCs w:val="24"/>
          <w:highlight w:val="none"/>
          <w:lang w:val="en-US" w:eastAsia="zh-CN" w:bidi="ar-SA"/>
        </w:rPr>
        <w:t xml:space="preserve"> 花岗岩石粉与其他矿物掺合料复合使用时，其他矿物掺合料应符合现行国家标准</w:t>
      </w:r>
      <w:bookmarkStart w:id="29" w:name="OLE_LINK1"/>
      <w:bookmarkStart w:id="30" w:name="OLE_LINK3"/>
      <w:r>
        <w:rPr>
          <w:rFonts w:hint="default" w:ascii="Times New Roman" w:hAnsi="Times New Roman" w:eastAsia="宋体" w:cs="Times New Roman"/>
          <w:color w:val="000000"/>
          <w:kern w:val="2"/>
          <w:sz w:val="24"/>
          <w:szCs w:val="24"/>
          <w:highlight w:val="none"/>
          <w:lang w:val="en-US" w:eastAsia="zh-CN" w:bidi="ar-SA"/>
        </w:rPr>
        <w:t>《矿物掺合料应用技术规范》GB/T 51003</w:t>
      </w:r>
      <w:bookmarkEnd w:id="29"/>
      <w:bookmarkEnd w:id="30"/>
      <w:r>
        <w:rPr>
          <w:rFonts w:hint="default" w:ascii="Times New Roman" w:hAnsi="Times New Roman" w:eastAsia="宋体" w:cs="Times New Roman"/>
          <w:color w:val="000000"/>
          <w:kern w:val="2"/>
          <w:sz w:val="24"/>
          <w:szCs w:val="24"/>
          <w:highlight w:val="none"/>
          <w:lang w:val="en-US" w:eastAsia="zh-CN" w:bidi="ar-SA"/>
        </w:rPr>
        <w:t>的有关规定。</w:t>
      </w:r>
    </w:p>
    <w:p w14:paraId="03B7CBBD">
      <w:pPr>
        <w:pStyle w:val="44"/>
        <w:keepNext w:val="0"/>
        <w:keepLines w:val="0"/>
        <w:pageBreakBefore w:val="0"/>
        <w:widowControl/>
        <w:numPr>
          <w:ilvl w:val="0"/>
          <w:numId w:val="7"/>
        </w:numPr>
        <w:tabs>
          <w:tab w:val="clear" w:pos="0"/>
        </w:tabs>
        <w:kinsoku/>
        <w:wordWrap/>
        <w:overflowPunct/>
        <w:topLinePunct w:val="0"/>
        <w:autoSpaceDE/>
        <w:autoSpaceDN/>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color w:val="000000"/>
          <w:kern w:val="2"/>
          <w:sz w:val="24"/>
          <w:szCs w:val="24"/>
          <w:highlight w:val="none"/>
          <w:lang w:val="en-US" w:eastAsia="zh-CN" w:bidi="ar-SA"/>
        </w:rPr>
        <w:t>普通混凝土用骨料应符合</w:t>
      </w:r>
      <w:r>
        <w:rPr>
          <w:rFonts w:hint="eastAsia" w:ascii="Times New Roman" w:hAnsi="Times New Roman" w:eastAsia="宋体" w:cs="Times New Roman"/>
          <w:color w:val="000000"/>
          <w:kern w:val="2"/>
          <w:sz w:val="24"/>
          <w:szCs w:val="24"/>
          <w:highlight w:val="none"/>
          <w:lang w:val="en-US" w:eastAsia="zh-CN" w:bidi="ar-SA"/>
        </w:rPr>
        <w:t>《普通混凝土用砂、石质量及检验方法标准》</w:t>
      </w:r>
      <w:r>
        <w:rPr>
          <w:rFonts w:hint="default" w:ascii="Times New Roman" w:hAnsi="Times New Roman" w:eastAsia="宋体" w:cs="Times New Roman"/>
          <w:color w:val="000000"/>
          <w:kern w:val="2"/>
          <w:sz w:val="24"/>
          <w:szCs w:val="24"/>
          <w:highlight w:val="none"/>
          <w:lang w:val="en-US" w:eastAsia="zh-CN" w:bidi="ar-SA"/>
        </w:rPr>
        <w:t xml:space="preserve">JGJ 52 或 </w:t>
      </w:r>
      <w:r>
        <w:rPr>
          <w:rFonts w:hint="eastAsia" w:ascii="Times New Roman" w:hAnsi="Times New Roman" w:eastAsia="宋体" w:cs="Times New Roman"/>
          <w:color w:val="000000"/>
          <w:kern w:val="2"/>
          <w:sz w:val="24"/>
          <w:szCs w:val="24"/>
          <w:highlight w:val="none"/>
          <w:lang w:val="en-US" w:eastAsia="zh-CN" w:bidi="ar-SA"/>
        </w:rPr>
        <w:t>《建设用砂》</w:t>
      </w:r>
      <w:r>
        <w:rPr>
          <w:rFonts w:hint="default" w:ascii="Times New Roman" w:hAnsi="Times New Roman" w:eastAsia="宋体" w:cs="Times New Roman"/>
          <w:color w:val="000000"/>
          <w:kern w:val="2"/>
          <w:sz w:val="24"/>
          <w:szCs w:val="24"/>
          <w:highlight w:val="none"/>
          <w:lang w:val="en-US" w:eastAsia="zh-CN" w:bidi="ar-SA"/>
        </w:rPr>
        <w:t>GB/T 14684、</w:t>
      </w:r>
      <w:r>
        <w:rPr>
          <w:rFonts w:hint="eastAsia" w:ascii="Times New Roman" w:hAnsi="Times New Roman" w:eastAsia="宋体" w:cs="Times New Roman"/>
          <w:color w:val="000000"/>
          <w:kern w:val="2"/>
          <w:sz w:val="24"/>
          <w:szCs w:val="24"/>
          <w:highlight w:val="none"/>
          <w:lang w:val="en-US" w:eastAsia="zh-CN" w:bidi="ar-SA"/>
        </w:rPr>
        <w:t>《建设用卵石、碎石》</w:t>
      </w:r>
      <w:r>
        <w:rPr>
          <w:rFonts w:hint="default" w:ascii="Times New Roman" w:hAnsi="Times New Roman" w:eastAsia="宋体" w:cs="Times New Roman"/>
          <w:color w:val="000000"/>
          <w:kern w:val="2"/>
          <w:sz w:val="24"/>
          <w:szCs w:val="24"/>
          <w:highlight w:val="none"/>
          <w:lang w:val="en-US" w:eastAsia="zh-CN" w:bidi="ar-SA"/>
        </w:rPr>
        <w:t>GB/T 14685 的规定，高性能混凝土用骨料宜符合</w:t>
      </w:r>
      <w:r>
        <w:rPr>
          <w:rFonts w:hint="eastAsia" w:ascii="Times New Roman" w:hAnsi="Times New Roman" w:eastAsia="宋体" w:cs="Times New Roman"/>
          <w:color w:val="000000"/>
          <w:kern w:val="2"/>
          <w:sz w:val="24"/>
          <w:szCs w:val="24"/>
          <w:highlight w:val="none"/>
          <w:lang w:val="en-US" w:eastAsia="zh-CN" w:bidi="ar-SA"/>
        </w:rPr>
        <w:t>《高性能混凝土用骨料》</w:t>
      </w:r>
      <w:r>
        <w:rPr>
          <w:rFonts w:hint="default" w:ascii="Times New Roman" w:hAnsi="Times New Roman" w:eastAsia="宋体" w:cs="Times New Roman"/>
          <w:color w:val="000000"/>
          <w:kern w:val="2"/>
          <w:sz w:val="24"/>
          <w:szCs w:val="24"/>
          <w:highlight w:val="none"/>
          <w:lang w:val="en-US" w:eastAsia="zh-CN" w:bidi="ar-SA"/>
        </w:rPr>
        <w:t>JGJ/T 568 的规定；海砂应符合</w:t>
      </w:r>
      <w:r>
        <w:rPr>
          <w:rFonts w:hint="eastAsia" w:ascii="Times New Roman" w:hAnsi="Times New Roman" w:eastAsia="宋体" w:cs="Times New Roman"/>
          <w:color w:val="000000"/>
          <w:kern w:val="2"/>
          <w:sz w:val="24"/>
          <w:szCs w:val="24"/>
          <w:highlight w:val="none"/>
          <w:lang w:val="en-US" w:eastAsia="zh-CN" w:bidi="ar-SA"/>
        </w:rPr>
        <w:t>《海砂混凝土应用技术规范》</w:t>
      </w:r>
      <w:r>
        <w:rPr>
          <w:rFonts w:hint="default" w:ascii="Times New Roman" w:hAnsi="Times New Roman" w:eastAsia="宋体" w:cs="Times New Roman"/>
          <w:color w:val="000000"/>
          <w:kern w:val="2"/>
          <w:sz w:val="24"/>
          <w:szCs w:val="24"/>
          <w:highlight w:val="none"/>
          <w:lang w:val="en-US" w:eastAsia="zh-CN" w:bidi="ar-SA"/>
        </w:rPr>
        <w:t>JGJ 206 的规定。</w:t>
      </w:r>
    </w:p>
    <w:p w14:paraId="04A88AFA">
      <w:pPr>
        <w:pStyle w:val="44"/>
        <w:keepNext w:val="0"/>
        <w:keepLines w:val="0"/>
        <w:pageBreakBefore w:val="0"/>
        <w:widowControl/>
        <w:numPr>
          <w:ilvl w:val="0"/>
          <w:numId w:val="7"/>
        </w:numPr>
        <w:tabs>
          <w:tab w:val="clear" w:pos="0"/>
        </w:tabs>
        <w:kinsoku/>
        <w:wordWrap/>
        <w:overflowPunct/>
        <w:topLinePunct w:val="0"/>
        <w:autoSpaceDE/>
        <w:autoSpaceDN/>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color w:val="000000"/>
          <w:kern w:val="2"/>
          <w:sz w:val="24"/>
          <w:szCs w:val="24"/>
          <w:highlight w:val="none"/>
          <w:lang w:val="en-US" w:eastAsia="zh-CN" w:bidi="ar-SA"/>
        </w:rPr>
        <w:t xml:space="preserve">外加剂应符合 </w:t>
      </w:r>
      <w:r>
        <w:rPr>
          <w:rFonts w:hint="eastAsia" w:ascii="Times New Roman" w:hAnsi="Times New Roman" w:eastAsia="宋体" w:cs="Times New Roman"/>
          <w:color w:val="000000"/>
          <w:kern w:val="2"/>
          <w:sz w:val="24"/>
          <w:szCs w:val="24"/>
          <w:highlight w:val="none"/>
          <w:lang w:val="en-US" w:eastAsia="zh-CN" w:bidi="ar-SA"/>
        </w:rPr>
        <w:t>《混凝土外加剂》</w:t>
      </w:r>
      <w:r>
        <w:rPr>
          <w:rFonts w:hint="default" w:ascii="Times New Roman" w:hAnsi="Times New Roman" w:eastAsia="宋体" w:cs="Times New Roman"/>
          <w:color w:val="000000"/>
          <w:kern w:val="2"/>
          <w:sz w:val="24"/>
          <w:szCs w:val="24"/>
          <w:highlight w:val="none"/>
          <w:lang w:val="en-US" w:eastAsia="zh-CN" w:bidi="ar-SA"/>
        </w:rPr>
        <w:t>GB 8076、</w:t>
      </w:r>
      <w:r>
        <w:rPr>
          <w:rFonts w:hint="eastAsia" w:ascii="Times New Roman" w:hAnsi="Times New Roman" w:eastAsia="宋体" w:cs="Times New Roman"/>
          <w:color w:val="000000"/>
          <w:kern w:val="2"/>
          <w:sz w:val="24"/>
          <w:szCs w:val="24"/>
          <w:highlight w:val="none"/>
          <w:lang w:val="en-US" w:eastAsia="zh-CN" w:bidi="ar-SA"/>
        </w:rPr>
        <w:t>《混凝土膨胀剂》</w:t>
      </w:r>
      <w:r>
        <w:rPr>
          <w:rFonts w:hint="default" w:ascii="Times New Roman" w:hAnsi="Times New Roman" w:eastAsia="宋体" w:cs="Times New Roman"/>
          <w:color w:val="000000"/>
          <w:kern w:val="2"/>
          <w:sz w:val="24"/>
          <w:szCs w:val="24"/>
          <w:highlight w:val="none"/>
          <w:lang w:val="en-US" w:eastAsia="zh-CN" w:bidi="ar-SA"/>
        </w:rPr>
        <w:t>GB/T 23439、</w:t>
      </w:r>
      <w:r>
        <w:rPr>
          <w:rFonts w:hint="eastAsia" w:ascii="Times New Roman" w:hAnsi="Times New Roman" w:eastAsia="宋体" w:cs="Times New Roman"/>
          <w:color w:val="000000"/>
          <w:kern w:val="2"/>
          <w:sz w:val="24"/>
          <w:szCs w:val="24"/>
          <w:highlight w:val="none"/>
          <w:lang w:val="en-US" w:eastAsia="zh-CN" w:bidi="ar-SA"/>
        </w:rPr>
        <w:t>《混凝土外加剂应用技术规范》</w:t>
      </w:r>
      <w:r>
        <w:rPr>
          <w:rFonts w:hint="default" w:ascii="Times New Roman" w:hAnsi="Times New Roman" w:eastAsia="宋体" w:cs="Times New Roman"/>
          <w:color w:val="000000"/>
          <w:kern w:val="2"/>
          <w:sz w:val="24"/>
          <w:szCs w:val="24"/>
          <w:highlight w:val="none"/>
          <w:lang w:val="en-US" w:eastAsia="zh-CN" w:bidi="ar-SA"/>
        </w:rPr>
        <w:t>GB 50119 的规定，聚羧酸系高性能减水剂还应符合</w:t>
      </w:r>
      <w:r>
        <w:rPr>
          <w:rFonts w:hint="eastAsia" w:ascii="Times New Roman" w:hAnsi="Times New Roman" w:eastAsia="宋体" w:cs="Times New Roman"/>
          <w:color w:val="000000"/>
          <w:kern w:val="2"/>
          <w:sz w:val="24"/>
          <w:szCs w:val="24"/>
          <w:highlight w:val="none"/>
          <w:lang w:val="en-US" w:eastAsia="zh-CN" w:bidi="ar-SA"/>
        </w:rPr>
        <w:t>《聚羧酸系高性能减水剂》</w:t>
      </w:r>
      <w:r>
        <w:rPr>
          <w:rFonts w:hint="default" w:ascii="Times New Roman" w:hAnsi="Times New Roman" w:eastAsia="宋体" w:cs="Times New Roman"/>
          <w:color w:val="000000"/>
          <w:kern w:val="2"/>
          <w:sz w:val="24"/>
          <w:szCs w:val="24"/>
          <w:highlight w:val="none"/>
          <w:lang w:val="en-US" w:eastAsia="zh-CN" w:bidi="ar-SA"/>
        </w:rPr>
        <w:t>JG/T 223的规定。外加剂与石粉、水泥和其他矿物掺合料的适应性应经试验验证。</w:t>
      </w:r>
    </w:p>
    <w:p w14:paraId="23A9F34F">
      <w:pPr>
        <w:pStyle w:val="44"/>
        <w:keepNext w:val="0"/>
        <w:keepLines w:val="0"/>
        <w:pageBreakBefore w:val="0"/>
        <w:widowControl/>
        <w:numPr>
          <w:ilvl w:val="0"/>
          <w:numId w:val="7"/>
        </w:numPr>
        <w:tabs>
          <w:tab w:val="clear" w:pos="0"/>
        </w:tabs>
        <w:kinsoku/>
        <w:wordWrap/>
        <w:overflowPunct/>
        <w:topLinePunct w:val="0"/>
        <w:autoSpaceDE/>
        <w:autoSpaceDN/>
        <w:bidi w:val="0"/>
        <w:adjustRightInd/>
        <w:snapToGrid/>
        <w:spacing w:before="0" w:beforeLines="0" w:after="0" w:afterLines="0" w:line="400" w:lineRule="exact"/>
        <w:ind w:left="0" w:leftChars="0" w:firstLine="0" w:firstLineChars="0"/>
        <w:textAlignment w:val="auto"/>
        <w:rPr>
          <w:rFonts w:hint="default" w:ascii="Times New Roman" w:hAnsi="Times New Roman" w:eastAsia="宋体" w:cs="Times New Roman"/>
          <w:color w:val="000000"/>
          <w:kern w:val="2"/>
          <w:sz w:val="24"/>
          <w:szCs w:val="24"/>
          <w:highlight w:val="none"/>
          <w:lang w:val="en-US" w:eastAsia="zh-CN" w:bidi="ar-SA"/>
        </w:rPr>
      </w:pPr>
      <w:r>
        <w:rPr>
          <w:rFonts w:hint="default" w:ascii="Times New Roman" w:hAnsi="Times New Roman" w:eastAsia="宋体" w:cs="Times New Roman"/>
          <w:color w:val="000000"/>
          <w:kern w:val="2"/>
          <w:sz w:val="24"/>
          <w:szCs w:val="24"/>
          <w:highlight w:val="none"/>
          <w:lang w:val="en-US" w:eastAsia="zh-CN" w:bidi="ar-SA"/>
        </w:rPr>
        <w:t>混凝土用水应符合现行行业标准《混凝土用水标准》JGJ 63的有关规定。</w:t>
      </w:r>
    </w:p>
    <w:p w14:paraId="340B5C3E">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color w:val="000000"/>
          <w:kern w:val="2"/>
          <w:sz w:val="32"/>
          <w:szCs w:val="32"/>
          <w:highlight w:val="none"/>
          <w:lang w:val="en-US" w:eastAsia="zh-CN" w:bidi="ar-SA"/>
        </w:rPr>
        <w:sectPr>
          <w:footerReference r:id="rId14" w:type="default"/>
          <w:footerReference r:id="rId15" w:type="even"/>
          <w:pgSz w:w="11906" w:h="16838"/>
          <w:pgMar w:top="1701" w:right="1134" w:bottom="1134" w:left="1418" w:header="1361" w:footer="1134" w:gutter="0"/>
          <w:pgBorders>
            <w:top w:val="none" w:sz="0" w:space="0"/>
            <w:left w:val="none" w:sz="0" w:space="0"/>
            <w:bottom w:val="none" w:sz="0" w:space="0"/>
            <w:right w:val="none" w:sz="0" w:space="0"/>
          </w:pgBorders>
          <w:pgNumType w:fmt="decimal" w:start="1"/>
          <w:cols w:space="425" w:num="1"/>
          <w:formProt w:val="0"/>
          <w:docGrid w:type="lines" w:linePitch="312" w:charSpace="0"/>
        </w:sectPr>
      </w:pPr>
    </w:p>
    <w:p w14:paraId="792260B6">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eastAsia" w:ascii="Times New Roman" w:hAnsi="Times New Roman" w:eastAsia="黑体" w:cs="Times New Roman"/>
          <w:b w:val="0"/>
          <w:i w:val="0"/>
          <w:sz w:val="32"/>
          <w:szCs w:val="32"/>
          <w:highlight w:val="none"/>
          <w:lang w:val="en-US" w:eastAsia="zh-CN" w:bidi="ar-SA"/>
        </w:rPr>
      </w:pPr>
      <w:bookmarkStart w:id="31" w:name="_Toc31035"/>
      <w:r>
        <w:rPr>
          <w:rFonts w:hint="eastAsia" w:ascii="Times New Roman" w:hAnsi="Times New Roman" w:eastAsia="黑体" w:cs="Times New Roman"/>
          <w:b w:val="0"/>
          <w:i w:val="0"/>
          <w:sz w:val="32"/>
          <w:szCs w:val="32"/>
          <w:highlight w:val="none"/>
          <w:lang w:val="en-US" w:eastAsia="zh-CN" w:bidi="ar-SA"/>
        </w:rPr>
        <w:t>4　混凝土性能</w:t>
      </w:r>
      <w:bookmarkEnd w:id="31"/>
    </w:p>
    <w:p w14:paraId="29F3887B">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32" w:name="_Toc6571"/>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4</w:t>
      </w:r>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.1</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拌合物性能</w:t>
      </w:r>
      <w:bookmarkEnd w:id="32"/>
    </w:p>
    <w:p w14:paraId="67FAD0A7">
      <w:pPr>
        <w:keepNext w:val="0"/>
        <w:keepLines w:val="0"/>
        <w:pageBreakBefore w:val="0"/>
        <w:widowControl/>
        <w:numPr>
          <w:ilvl w:val="0"/>
          <w:numId w:val="8"/>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掺花岗岩石粉的混凝土拌合物应具有良好的工作性，凝结时间应满足施工要求。</w:t>
      </w:r>
    </w:p>
    <w:p w14:paraId="353390D6">
      <w:pPr>
        <w:keepNext w:val="0"/>
        <w:keepLines w:val="0"/>
        <w:pageBreakBefore w:val="0"/>
        <w:widowControl/>
        <w:numPr>
          <w:ilvl w:val="0"/>
          <w:numId w:val="8"/>
        </w:numPr>
        <w:tabs>
          <w:tab w:val="clear" w:pos="0"/>
        </w:tabs>
        <w:kinsoku/>
        <w:wordWrap/>
        <w:overflowPunct/>
        <w:topLinePunct w:val="0"/>
        <w:autoSpaceDE w:val="0"/>
        <w:autoSpaceDN w:val="0"/>
        <w:bidi w:val="0"/>
        <w:adjustRightInd/>
        <w:snapToGrid/>
        <w:spacing w:before="157" w:beforeLines="50"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eastAsia" w:ascii="Times New Roman" w:hAnsi="Times New Roman" w:cs="Times New Roman"/>
          <w:b w:val="0"/>
          <w:bCs w:val="0"/>
          <w:sz w:val="24"/>
          <w:szCs w:val="24"/>
          <w:highlight w:val="none"/>
          <w:lang w:val="en-US" w:eastAsia="zh-CN"/>
        </w:rPr>
        <w:t>花岗岩石粉</w:t>
      </w:r>
      <w:r>
        <w:rPr>
          <w:rFonts w:hint="default" w:ascii="Times New Roman" w:hAnsi="Times New Roman" w:cs="Times New Roman" w:eastAsiaTheme="minorEastAsia"/>
          <w:b w:val="0"/>
          <w:bCs w:val="0"/>
          <w:sz w:val="24"/>
          <w:szCs w:val="24"/>
          <w:highlight w:val="none"/>
        </w:rPr>
        <w:t>混凝土拌合物坍落度和扩展度的等级划分应符合</w:t>
      </w:r>
      <w:r>
        <w:rPr>
          <w:rFonts w:hint="eastAsia" w:ascii="Times New Roman" w:hAnsi="Times New Roman" w:cs="Times New Roman"/>
          <w:b w:val="0"/>
          <w:bCs w:val="0"/>
          <w:sz w:val="24"/>
          <w:szCs w:val="24"/>
          <w:highlight w:val="none"/>
          <w:lang w:val="en-US" w:eastAsia="zh-CN"/>
        </w:rPr>
        <w:t>现行国家标准</w:t>
      </w:r>
      <w:r>
        <w:rPr>
          <w:rFonts w:hint="eastAsia" w:ascii="Times New Roman" w:hAnsi="Times New Roman" w:cs="Times New Roman"/>
          <w:b w:val="0"/>
          <w:bCs w:val="0"/>
          <w:sz w:val="24"/>
          <w:szCs w:val="24"/>
          <w:highlight w:val="none"/>
          <w:lang w:eastAsia="zh-CN"/>
        </w:rPr>
        <w:t>《预拌混凝土》</w:t>
      </w:r>
      <w:r>
        <w:rPr>
          <w:rFonts w:hint="default" w:ascii="Times New Roman" w:hAnsi="Times New Roman" w:cs="Times New Roman" w:eastAsiaTheme="minorEastAsia"/>
          <w:b w:val="0"/>
          <w:bCs w:val="0"/>
          <w:sz w:val="24"/>
          <w:szCs w:val="24"/>
          <w:highlight w:val="none"/>
          <w:lang w:val="en-US" w:eastAsia="zh-CN"/>
        </w:rPr>
        <w:t>GB/T 14902的规定</w:t>
      </w:r>
      <w:r>
        <w:rPr>
          <w:rFonts w:hint="default" w:ascii="Times New Roman" w:hAnsi="Times New Roman" w:cs="Times New Roman" w:eastAsiaTheme="minorEastAsia"/>
          <w:b w:val="0"/>
          <w:bCs w:val="0"/>
          <w:sz w:val="24"/>
          <w:szCs w:val="24"/>
          <w:highlight w:val="none"/>
        </w:rPr>
        <w:t>。</w:t>
      </w:r>
    </w:p>
    <w:p w14:paraId="293B298C">
      <w:pPr>
        <w:keepNext w:val="0"/>
        <w:keepLines w:val="0"/>
        <w:pageBreakBefore w:val="0"/>
        <w:widowControl/>
        <w:numPr>
          <w:ilvl w:val="0"/>
          <w:numId w:val="8"/>
        </w:numPr>
        <w:tabs>
          <w:tab w:val="clear" w:pos="0"/>
        </w:tabs>
        <w:kinsoku/>
        <w:wordWrap/>
        <w:overflowPunct/>
        <w:topLinePunct w:val="0"/>
        <w:autoSpaceDE w:val="0"/>
        <w:autoSpaceDN w:val="0"/>
        <w:bidi w:val="0"/>
        <w:adjustRightInd/>
        <w:snapToGrid/>
        <w:spacing w:before="157" w:beforeLines="50"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eastAsia" w:ascii="Times New Roman" w:hAnsi="Times New Roman" w:cs="Times New Roman"/>
          <w:b w:val="0"/>
          <w:bCs w:val="0"/>
          <w:sz w:val="24"/>
          <w:szCs w:val="24"/>
          <w:highlight w:val="none"/>
          <w:lang w:val="en-US" w:eastAsia="zh-CN"/>
        </w:rPr>
        <w:t>花岗岩石粉</w:t>
      </w:r>
      <w:r>
        <w:rPr>
          <w:rFonts w:hint="default" w:ascii="Times New Roman" w:hAnsi="Times New Roman" w:cs="Times New Roman" w:eastAsiaTheme="minorEastAsia"/>
          <w:b w:val="0"/>
          <w:bCs w:val="0"/>
          <w:sz w:val="24"/>
          <w:szCs w:val="24"/>
          <w:highlight w:val="none"/>
        </w:rPr>
        <w:t>混凝土拌合物坍落度和扩展度的实测值与控制目标值的允许偏差应符合</w:t>
      </w:r>
      <w:r>
        <w:rPr>
          <w:rFonts w:hint="eastAsia" w:ascii="Times New Roman" w:hAnsi="Times New Roman" w:cs="Times New Roman"/>
          <w:b w:val="0"/>
          <w:bCs w:val="0"/>
          <w:sz w:val="24"/>
          <w:szCs w:val="24"/>
          <w:highlight w:val="none"/>
          <w:lang w:val="en-US" w:eastAsia="zh-CN"/>
        </w:rPr>
        <w:t>现行国家标准</w:t>
      </w:r>
      <w:r>
        <w:rPr>
          <w:rFonts w:hint="eastAsia" w:ascii="Times New Roman" w:hAnsi="Times New Roman" w:cs="Times New Roman"/>
          <w:b w:val="0"/>
          <w:bCs w:val="0"/>
          <w:sz w:val="24"/>
          <w:szCs w:val="24"/>
          <w:highlight w:val="none"/>
          <w:lang w:eastAsia="zh-CN"/>
        </w:rPr>
        <w:t>《预拌混凝土》</w:t>
      </w:r>
      <w:r>
        <w:rPr>
          <w:rFonts w:hint="default" w:ascii="Times New Roman" w:hAnsi="Times New Roman" w:cs="Times New Roman" w:eastAsiaTheme="minorEastAsia"/>
          <w:b w:val="0"/>
          <w:bCs w:val="0"/>
          <w:sz w:val="24"/>
          <w:szCs w:val="24"/>
          <w:highlight w:val="none"/>
          <w:lang w:val="en-US" w:eastAsia="zh-CN"/>
        </w:rPr>
        <w:t>GB/T 14902的规定</w:t>
      </w:r>
      <w:r>
        <w:rPr>
          <w:rFonts w:hint="default" w:ascii="Times New Roman" w:hAnsi="Times New Roman" w:cs="Times New Roman" w:eastAsiaTheme="minorEastAsia"/>
          <w:b w:val="0"/>
          <w:bCs w:val="0"/>
          <w:sz w:val="24"/>
          <w:szCs w:val="24"/>
          <w:highlight w:val="none"/>
        </w:rPr>
        <w:t>。</w:t>
      </w:r>
    </w:p>
    <w:p w14:paraId="158DE293">
      <w:pPr>
        <w:keepNext w:val="0"/>
        <w:keepLines w:val="0"/>
        <w:pageBreakBefore w:val="0"/>
        <w:widowControl/>
        <w:numPr>
          <w:ilvl w:val="0"/>
          <w:numId w:val="8"/>
        </w:numPr>
        <w:tabs>
          <w:tab w:val="clear" w:pos="0"/>
        </w:tabs>
        <w:kinsoku/>
        <w:wordWrap/>
        <w:overflowPunct/>
        <w:topLinePunct w:val="0"/>
        <w:autoSpaceDE w:val="0"/>
        <w:autoSpaceDN w:val="0"/>
        <w:bidi w:val="0"/>
        <w:adjustRightInd/>
        <w:snapToGrid/>
        <w:spacing w:before="157" w:beforeLines="50"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eastAsia" w:ascii="Times New Roman" w:hAnsi="Times New Roman" w:cs="Times New Roman"/>
          <w:b w:val="0"/>
          <w:bCs w:val="0"/>
          <w:sz w:val="24"/>
          <w:szCs w:val="24"/>
          <w:highlight w:val="none"/>
          <w:lang w:val="en-US" w:eastAsia="zh-CN"/>
        </w:rPr>
        <w:t>花岗岩石</w:t>
      </w:r>
      <w:r>
        <w:rPr>
          <w:rFonts w:hint="default" w:ascii="Times New Roman" w:hAnsi="Times New Roman" w:cs="Times New Roman" w:eastAsiaTheme="minorEastAsia"/>
          <w:b w:val="0"/>
          <w:bCs w:val="0"/>
          <w:sz w:val="24"/>
          <w:szCs w:val="24"/>
          <w:highlight w:val="none"/>
          <w:lang w:eastAsia="zh-CN"/>
        </w:rPr>
        <w:t>粉</w:t>
      </w:r>
      <w:r>
        <w:rPr>
          <w:rFonts w:hint="default" w:ascii="Times New Roman" w:hAnsi="Times New Roman" w:cs="Times New Roman" w:eastAsiaTheme="minorEastAsia"/>
          <w:b w:val="0"/>
          <w:bCs w:val="0"/>
          <w:sz w:val="24"/>
          <w:szCs w:val="24"/>
          <w:highlight w:val="none"/>
        </w:rPr>
        <w:t>混凝土含气量实测值不宜大于7 %。</w:t>
      </w:r>
      <w:r>
        <w:rPr>
          <w:rFonts w:hint="default" w:ascii="Times New Roman" w:hAnsi="Times New Roman" w:cs="Times New Roman" w:eastAsiaTheme="minorEastAsia"/>
          <w:b w:val="0"/>
          <w:bCs w:val="0"/>
          <w:sz w:val="24"/>
          <w:szCs w:val="24"/>
          <w:highlight w:val="none"/>
          <w:lang w:val="en-US" w:eastAsia="zh-CN"/>
        </w:rPr>
        <w:t>冻融环境条件下的混凝土拌合物含气量应符合</w:t>
      </w:r>
      <w:r>
        <w:rPr>
          <w:rFonts w:hint="eastAsia" w:ascii="Times New Roman" w:hAnsi="Times New Roman" w:cs="Times New Roman"/>
          <w:b w:val="0"/>
          <w:bCs w:val="0"/>
          <w:sz w:val="24"/>
          <w:szCs w:val="24"/>
          <w:highlight w:val="none"/>
          <w:lang w:val="en-US" w:eastAsia="zh-CN"/>
        </w:rPr>
        <w:t>现行国家标准《混凝土结构耐久性设计标准》</w:t>
      </w:r>
      <w:r>
        <w:rPr>
          <w:rFonts w:hint="default" w:ascii="Times New Roman" w:hAnsi="Times New Roman" w:cs="Times New Roman" w:eastAsiaTheme="minorEastAsia"/>
          <w:b w:val="0"/>
          <w:bCs w:val="0"/>
          <w:sz w:val="24"/>
          <w:szCs w:val="24"/>
          <w:highlight w:val="none"/>
          <w:lang w:val="en-US" w:eastAsia="zh-CN"/>
        </w:rPr>
        <w:t>GB/T 50476 的规定。无抗冻要求的一般环境条件下掺用引气剂或引气型外加剂混凝土拌合物的含气量应符合</w:t>
      </w:r>
      <w:r>
        <w:rPr>
          <w:rFonts w:hint="eastAsia" w:ascii="Times New Roman" w:hAnsi="Times New Roman" w:cs="Times New Roman"/>
          <w:b w:val="0"/>
          <w:bCs w:val="0"/>
          <w:sz w:val="24"/>
          <w:szCs w:val="24"/>
          <w:highlight w:val="none"/>
          <w:lang w:val="en-US" w:eastAsia="zh-CN"/>
        </w:rPr>
        <w:t>现行国家标准《混凝土质量控制标准》</w:t>
      </w:r>
      <w:r>
        <w:rPr>
          <w:rFonts w:hint="default" w:ascii="Times New Roman" w:hAnsi="Times New Roman" w:cs="Times New Roman" w:eastAsiaTheme="minorEastAsia"/>
          <w:b w:val="0"/>
          <w:bCs w:val="0"/>
          <w:sz w:val="24"/>
          <w:szCs w:val="24"/>
          <w:highlight w:val="none"/>
          <w:lang w:val="en-US" w:eastAsia="zh-CN"/>
        </w:rPr>
        <w:t>GB 50164 的规定。</w:t>
      </w:r>
    </w:p>
    <w:p w14:paraId="02795307">
      <w:pPr>
        <w:keepNext w:val="0"/>
        <w:keepLines w:val="0"/>
        <w:pageBreakBefore w:val="0"/>
        <w:widowControl/>
        <w:numPr>
          <w:ilvl w:val="0"/>
          <w:numId w:val="8"/>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花岗岩石粉</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混凝土拌合物中水溶性氯离子最大含量实测值应符合表</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4.1.4</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的规定。</w:t>
      </w:r>
    </w:p>
    <w:p w14:paraId="03223281">
      <w:pPr>
        <w:pStyle w:val="79"/>
        <w:numPr>
          <w:ilvl w:val="0"/>
          <w:numId w:val="0"/>
        </w:numPr>
        <w:jc w:val="center"/>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表</w:t>
      </w:r>
      <w:r>
        <w:rPr>
          <w:rFonts w:hint="eastAsia"/>
          <w:color w:val="000000" w:themeColor="text1"/>
          <w:szCs w:val="21"/>
          <w:highlight w:val="none"/>
          <w:lang w:val="en-US" w:eastAsia="zh-CN"/>
          <w14:textFill>
            <w14:solidFill>
              <w14:schemeClr w14:val="tx1"/>
            </w14:solidFill>
          </w14:textFill>
        </w:rPr>
        <w:t>4.1.4</w:t>
      </w:r>
      <w:r>
        <w:rPr>
          <w:rFonts w:hint="eastAsia"/>
          <w:color w:val="000000" w:themeColor="text1"/>
          <w:szCs w:val="21"/>
          <w:highlight w:val="none"/>
          <w14:textFill>
            <w14:solidFill>
              <w14:schemeClr w14:val="tx1"/>
            </w14:solidFill>
          </w14:textFill>
        </w:rPr>
        <w:t xml:space="preserve">  </w:t>
      </w:r>
      <w:r>
        <w:rPr>
          <w:rFonts w:hint="eastAsia"/>
          <w:color w:val="000000" w:themeColor="text1"/>
          <w:szCs w:val="21"/>
          <w:highlight w:val="none"/>
          <w:lang w:val="en-US" w:eastAsia="zh-CN"/>
          <w14:textFill>
            <w14:solidFill>
              <w14:schemeClr w14:val="tx1"/>
            </w14:solidFill>
          </w14:textFill>
        </w:rPr>
        <w:t>花岗岩石粉</w:t>
      </w:r>
      <w:r>
        <w:rPr>
          <w:color w:val="000000" w:themeColor="text1"/>
          <w:szCs w:val="21"/>
          <w:highlight w:val="none"/>
          <w14:textFill>
            <w14:solidFill>
              <w14:schemeClr w14:val="tx1"/>
            </w14:solidFill>
          </w14:textFill>
        </w:rPr>
        <w:t>混凝土拌合物中水溶性氯离子最大含量</w:t>
      </w:r>
    </w:p>
    <w:tbl>
      <w:tblPr>
        <w:tblStyle w:val="22"/>
        <w:tblW w:w="48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0"/>
        <w:gridCol w:w="2446"/>
        <w:gridCol w:w="1960"/>
        <w:gridCol w:w="2003"/>
      </w:tblGrid>
      <w:tr w14:paraId="1FA0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8" w:type="pct"/>
            <w:vMerge w:val="restart"/>
            <w:vAlign w:val="center"/>
          </w:tcPr>
          <w:p w14:paraId="13DFE994">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环境条件</w:t>
            </w:r>
          </w:p>
        </w:tc>
        <w:tc>
          <w:tcPr>
            <w:tcW w:w="3471" w:type="pct"/>
            <w:gridSpan w:val="3"/>
            <w:vAlign w:val="center"/>
          </w:tcPr>
          <w:p w14:paraId="0D67C291">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bookmarkStart w:id="33" w:name="_Hlk164023247"/>
            <w:r>
              <w:rPr>
                <w:rFonts w:hint="default" w:ascii="Times New Roman" w:hAnsi="Times New Roman" w:cs="Times New Roman"/>
                <w:color w:val="000000" w:themeColor="text1"/>
                <w:sz w:val="21"/>
                <w:szCs w:val="21"/>
                <w:highlight w:val="none"/>
                <w14:textFill>
                  <w14:solidFill>
                    <w14:schemeClr w14:val="tx1"/>
                  </w14:solidFill>
                </w14:textFill>
              </w:rPr>
              <w:t>水溶性氯离子最大含量</w:t>
            </w:r>
            <w:bookmarkEnd w:id="33"/>
            <w:r>
              <w:rPr>
                <w:rFonts w:hint="default" w:ascii="Times New Roman" w:hAnsi="Times New Roman" w:cs="Times New Roman"/>
                <w:color w:val="000000" w:themeColor="text1"/>
                <w:sz w:val="21"/>
                <w:szCs w:val="21"/>
                <w:highlight w:val="none"/>
                <w:vertAlign w:val="superscript"/>
                <w:lang w:val="en-US" w:eastAsia="zh-CN"/>
                <w14:textFill>
                  <w14:solidFill>
                    <w14:schemeClr w14:val="tx1"/>
                  </w14:solidFill>
                </w14:textFill>
              </w:rPr>
              <w:t>a</w:t>
            </w:r>
            <w:r>
              <w:rPr>
                <w:rFonts w:hint="default" w:ascii="Times New Roman" w:hAnsi="Times New Roman" w:cs="Times New Roman"/>
                <w:color w:val="000000" w:themeColor="text1"/>
                <w:sz w:val="21"/>
                <w:szCs w:val="21"/>
                <w:highlight w:val="none"/>
                <w14:textFill>
                  <w14:solidFill>
                    <w14:schemeClr w14:val="tx1"/>
                  </w14:solidFill>
                </w14:textFill>
              </w:rPr>
              <w:t>（%，按胶凝材料用量的质量百分比计）</w:t>
            </w:r>
          </w:p>
        </w:tc>
      </w:tr>
      <w:tr w14:paraId="49D3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8" w:type="pct"/>
            <w:vMerge w:val="continue"/>
            <w:vAlign w:val="center"/>
          </w:tcPr>
          <w:p w14:paraId="1F4B8970">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c>
          <w:tcPr>
            <w:tcW w:w="1325" w:type="pct"/>
            <w:vAlign w:val="center"/>
          </w:tcPr>
          <w:p w14:paraId="0100709D">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钢筋混凝土</w:t>
            </w:r>
          </w:p>
        </w:tc>
        <w:tc>
          <w:tcPr>
            <w:tcW w:w="1062" w:type="pct"/>
            <w:vAlign w:val="center"/>
          </w:tcPr>
          <w:p w14:paraId="4F055BCE">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预应力混凝土</w:t>
            </w:r>
          </w:p>
        </w:tc>
        <w:tc>
          <w:tcPr>
            <w:tcW w:w="1084" w:type="pct"/>
            <w:vAlign w:val="center"/>
          </w:tcPr>
          <w:p w14:paraId="2D67BDEE">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素混凝土</w:t>
            </w:r>
          </w:p>
        </w:tc>
      </w:tr>
      <w:tr w14:paraId="2520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528" w:type="pct"/>
            <w:vAlign w:val="center"/>
          </w:tcPr>
          <w:p w14:paraId="35F894C9">
            <w:pPr>
              <w:tabs>
                <w:tab w:val="left" w:pos="1080"/>
                <w:tab w:val="clear" w:pos="4201"/>
                <w:tab w:val="clear" w:pos="9298"/>
              </w:tabs>
              <w:spacing w:line="240" w:lineRule="atLeast"/>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干燥环境</w:t>
            </w:r>
          </w:p>
        </w:tc>
        <w:tc>
          <w:tcPr>
            <w:tcW w:w="1325" w:type="pct"/>
            <w:vAlign w:val="center"/>
          </w:tcPr>
          <w:p w14:paraId="525B97D5">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0.30</w:t>
            </w:r>
          </w:p>
        </w:tc>
        <w:tc>
          <w:tcPr>
            <w:tcW w:w="1062" w:type="pct"/>
            <w:vMerge w:val="restart"/>
            <w:vAlign w:val="center"/>
          </w:tcPr>
          <w:p w14:paraId="7D9E46FD">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0.06</w:t>
            </w:r>
          </w:p>
        </w:tc>
        <w:tc>
          <w:tcPr>
            <w:tcW w:w="1084" w:type="pct"/>
            <w:vMerge w:val="restart"/>
            <w:vAlign w:val="center"/>
          </w:tcPr>
          <w:p w14:paraId="3EA5A725">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1.0</w:t>
            </w:r>
          </w:p>
        </w:tc>
      </w:tr>
      <w:tr w14:paraId="17E6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8" w:type="pct"/>
            <w:vAlign w:val="center"/>
          </w:tcPr>
          <w:p w14:paraId="001FD0C0">
            <w:pPr>
              <w:tabs>
                <w:tab w:val="left" w:pos="1080"/>
                <w:tab w:val="clear" w:pos="4201"/>
                <w:tab w:val="clear" w:pos="9298"/>
              </w:tabs>
              <w:spacing w:line="240" w:lineRule="atLeast"/>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潮湿但不含氯离子的环境</w:t>
            </w:r>
          </w:p>
        </w:tc>
        <w:tc>
          <w:tcPr>
            <w:tcW w:w="1325" w:type="pct"/>
            <w:vAlign w:val="center"/>
          </w:tcPr>
          <w:p w14:paraId="09F25F8E">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0.20</w:t>
            </w:r>
          </w:p>
        </w:tc>
        <w:tc>
          <w:tcPr>
            <w:tcW w:w="1062" w:type="pct"/>
            <w:vMerge w:val="continue"/>
            <w:vAlign w:val="center"/>
          </w:tcPr>
          <w:p w14:paraId="6A08BA06">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c>
          <w:tcPr>
            <w:tcW w:w="1084" w:type="pct"/>
            <w:vMerge w:val="continue"/>
            <w:vAlign w:val="center"/>
          </w:tcPr>
          <w:p w14:paraId="3C854986">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r>
      <w:tr w14:paraId="5BE8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28" w:type="pct"/>
            <w:vAlign w:val="center"/>
          </w:tcPr>
          <w:p w14:paraId="68916925">
            <w:pPr>
              <w:tabs>
                <w:tab w:val="left" w:pos="1080"/>
                <w:tab w:val="clear" w:pos="4201"/>
                <w:tab w:val="clear" w:pos="9298"/>
              </w:tabs>
              <w:spacing w:line="240" w:lineRule="atLeast"/>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潮湿</w:t>
            </w:r>
            <w:r>
              <w:rPr>
                <w:rFonts w:hint="eastAsia" w:ascii="Times New Roman" w:hAnsi="Times New Roman" w:cs="Times New Roman"/>
                <w:color w:val="000000" w:themeColor="text1"/>
                <w:sz w:val="21"/>
                <w:szCs w:val="21"/>
                <w:highlight w:val="none"/>
                <w:lang w:val="en-US" w:eastAsia="zh-CN"/>
                <w14:textFill>
                  <w14:solidFill>
                    <w14:schemeClr w14:val="tx1"/>
                  </w14:solidFill>
                </w14:textFill>
              </w:rPr>
              <w:t>且</w:t>
            </w:r>
            <w:r>
              <w:rPr>
                <w:rFonts w:hint="default" w:ascii="Times New Roman" w:hAnsi="Times New Roman" w:cs="Times New Roman"/>
                <w:color w:val="000000" w:themeColor="text1"/>
                <w:sz w:val="21"/>
                <w:szCs w:val="21"/>
                <w:highlight w:val="none"/>
                <w14:textFill>
                  <w14:solidFill>
                    <w14:schemeClr w14:val="tx1"/>
                  </w14:solidFill>
                </w14:textFill>
              </w:rPr>
              <w:t>含有氯离子的环境</w:t>
            </w:r>
          </w:p>
        </w:tc>
        <w:tc>
          <w:tcPr>
            <w:tcW w:w="1325" w:type="pct"/>
            <w:vAlign w:val="center"/>
          </w:tcPr>
          <w:p w14:paraId="4B1D71EC">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0.10</w:t>
            </w:r>
          </w:p>
        </w:tc>
        <w:tc>
          <w:tcPr>
            <w:tcW w:w="1062" w:type="pct"/>
            <w:vMerge w:val="continue"/>
            <w:vAlign w:val="center"/>
          </w:tcPr>
          <w:p w14:paraId="7A9D1F37">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c>
          <w:tcPr>
            <w:tcW w:w="1084" w:type="pct"/>
            <w:vMerge w:val="continue"/>
            <w:vAlign w:val="center"/>
          </w:tcPr>
          <w:p w14:paraId="4FEF627F">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r>
      <w:tr w14:paraId="62BC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8" w:type="pct"/>
            <w:vAlign w:val="center"/>
          </w:tcPr>
          <w:p w14:paraId="5BB9E691">
            <w:pPr>
              <w:tabs>
                <w:tab w:val="left" w:pos="1080"/>
                <w:tab w:val="clear" w:pos="4201"/>
                <w:tab w:val="clear" w:pos="9298"/>
              </w:tabs>
              <w:spacing w:line="240" w:lineRule="atLeast"/>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除冰盐等侵蚀性物质的腐蚀环境、盐渍土环境</w:t>
            </w:r>
          </w:p>
        </w:tc>
        <w:tc>
          <w:tcPr>
            <w:tcW w:w="1325" w:type="pct"/>
            <w:vAlign w:val="center"/>
          </w:tcPr>
          <w:p w14:paraId="353DD2DA">
            <w:pPr>
              <w:ind w:left="0" w:leftChars="0" w:firstLine="0" w:firstLineChars="0"/>
              <w:jc w:val="center"/>
              <w:rPr>
                <w:rFonts w:hint="default" w:ascii="Times New Roman" w:hAnsi="Times New Roman"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14:textFill>
                  <w14:solidFill>
                    <w14:schemeClr w14:val="tx1"/>
                  </w14:solidFill>
                </w14:textFill>
              </w:rPr>
              <w:t>0.06</w:t>
            </w:r>
          </w:p>
        </w:tc>
        <w:tc>
          <w:tcPr>
            <w:tcW w:w="1062" w:type="pct"/>
            <w:vMerge w:val="continue"/>
            <w:vAlign w:val="center"/>
          </w:tcPr>
          <w:p w14:paraId="5201BFFF">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c>
          <w:tcPr>
            <w:tcW w:w="1084" w:type="pct"/>
            <w:vMerge w:val="continue"/>
            <w:vAlign w:val="center"/>
          </w:tcPr>
          <w:p w14:paraId="56963D93">
            <w:pPr>
              <w:jc w:val="center"/>
              <w:rPr>
                <w:rFonts w:hint="default" w:ascii="Times New Roman" w:hAnsi="Times New Roman" w:cs="Times New Roman"/>
                <w:color w:val="000000" w:themeColor="text1"/>
                <w:sz w:val="21"/>
                <w:szCs w:val="21"/>
                <w:highlight w:val="none"/>
                <w14:textFill>
                  <w14:solidFill>
                    <w14:schemeClr w14:val="tx1"/>
                  </w14:solidFill>
                </w14:textFill>
              </w:rPr>
            </w:pPr>
          </w:p>
        </w:tc>
      </w:tr>
      <w:tr w14:paraId="25CFE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4"/>
            <w:vAlign w:val="center"/>
          </w:tcPr>
          <w:p w14:paraId="40582A65">
            <w:pPr>
              <w:ind w:left="0" w:leftChars="0" w:firstLine="0" w:firstLineChars="0"/>
              <w:jc w:val="left"/>
              <w:rPr>
                <w:rFonts w:hint="default" w:ascii="Times New Roman" w:hAnsi="Times New Roman" w:cs="Times New Roman"/>
                <w:color w:val="000000" w:themeColor="text1"/>
                <w:sz w:val="21"/>
                <w:szCs w:val="21"/>
                <w:highlight w:val="none"/>
                <w14:textFill>
                  <w14:solidFill>
                    <w14:schemeClr w14:val="tx1"/>
                  </w14:solidFill>
                </w14:textFill>
              </w:rPr>
            </w:pPr>
            <w:bookmarkStart w:id="34" w:name="_Hlk164023301"/>
            <w:r>
              <w:rPr>
                <w:rFonts w:hint="eastAsia" w:ascii="Times New Roman" w:hAnsi="Times New Roman" w:cs="Times New Roman"/>
                <w:color w:val="000000" w:themeColor="text1"/>
                <w:sz w:val="21"/>
                <w:szCs w:val="21"/>
                <w:highlight w:val="none"/>
                <w:vertAlign w:val="superscript"/>
                <w:lang w:val="en-US" w:eastAsia="zh-CN"/>
                <w14:textFill>
                  <w14:solidFill>
                    <w14:schemeClr w14:val="tx1"/>
                  </w14:solidFill>
                </w14:textFill>
              </w:rPr>
              <w:t>a</w:t>
            </w:r>
            <w:r>
              <w:rPr>
                <w:rFonts w:hint="eastAsia" w:ascii="Times New Roman" w:hAnsi="Times New Roman" w:cs="Times New Roman"/>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highlight w:val="none"/>
                <w:lang w:val="en-US" w:eastAsia="zh-CN"/>
                <w14:textFill>
                  <w14:solidFill>
                    <w14:schemeClr w14:val="tx1"/>
                  </w14:solidFill>
                </w14:textFill>
              </w:rPr>
              <w:t>水溶性氯离子含量测试结果数据处理时，辅助胶凝材料的量不应大于硅酸盐水泥的量</w:t>
            </w:r>
            <w:r>
              <w:rPr>
                <w:rFonts w:hint="eastAsia" w:ascii="Times New Roman" w:hAnsi="Times New Roman" w:cs="Times New Roman"/>
                <w:color w:val="000000" w:themeColor="text1"/>
                <w:sz w:val="21"/>
                <w:szCs w:val="21"/>
                <w:highlight w:val="none"/>
                <w:lang w:val="en-US" w:eastAsia="zh-CN"/>
                <w14:textFill>
                  <w14:solidFill>
                    <w14:schemeClr w14:val="tx1"/>
                  </w14:solidFill>
                </w14:textFill>
              </w:rPr>
              <w:t>。</w:t>
            </w:r>
            <w:r>
              <w:rPr>
                <w:rFonts w:hint="default" w:ascii="Times New Roman" w:hAnsi="Times New Roman" w:cs="Times New Roman"/>
                <w:color w:val="000000" w:themeColor="text1"/>
                <w:sz w:val="21"/>
                <w:szCs w:val="21"/>
                <w:highlight w:val="none"/>
                <w14:textFill>
                  <w14:solidFill>
                    <w14:schemeClr w14:val="tx1"/>
                  </w14:solidFill>
                </w14:textFill>
              </w:rPr>
              <w:t>当采用P·I型硅酸盐水泥时，硅酸盐水泥的量即为水泥用量；当采用除P·I型硅酸盐水泥以外的其他类型的</w:t>
            </w:r>
            <w:r>
              <w:rPr>
                <w:rFonts w:hint="default" w:ascii="Times New Roman" w:hAnsi="Times New Roman" w:cs="Times New Roman"/>
                <w:color w:val="000000" w:themeColor="text1"/>
                <w:sz w:val="21"/>
                <w:szCs w:val="21"/>
                <w:highlight w:val="none"/>
                <w:lang w:val="en-US" w:eastAsia="zh-CN"/>
                <w14:textFill>
                  <w14:solidFill>
                    <w14:schemeClr w14:val="tx1"/>
                  </w14:solidFill>
                </w14:textFill>
              </w:rPr>
              <w:t>通用</w:t>
            </w:r>
            <w:r>
              <w:rPr>
                <w:rFonts w:hint="default" w:ascii="Times New Roman" w:hAnsi="Times New Roman" w:cs="Times New Roman"/>
                <w:color w:val="000000" w:themeColor="text1"/>
                <w:sz w:val="21"/>
                <w:szCs w:val="21"/>
                <w:highlight w:val="none"/>
                <w14:textFill>
                  <w14:solidFill>
                    <w14:schemeClr w14:val="tx1"/>
                  </w14:solidFill>
                </w14:textFill>
              </w:rPr>
              <w:t>硅酸盐水泥时，硅酸盐水泥的量以水泥用量减去混合材用量计算。水泥中的混合材掺量应按水泥厂家提供的出厂数据确定。</w:t>
            </w:r>
            <w:bookmarkEnd w:id="34"/>
          </w:p>
        </w:tc>
      </w:tr>
    </w:tbl>
    <w:p w14:paraId="42A43983">
      <w:pPr>
        <w:keepNext w:val="0"/>
        <w:keepLines w:val="0"/>
        <w:pageBreakBefore w:val="0"/>
        <w:widowControl/>
        <w:numPr>
          <w:ilvl w:val="0"/>
          <w:numId w:val="8"/>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掺花岗岩石粉的混凝土拌合物性能试验方法应按现行国家标准《</w:t>
      </w:r>
      <w:r>
        <w:rPr>
          <w:rFonts w:hint="default" w:ascii="Times New Roman" w:hAnsi="Times New Roman" w:eastAsia="宋体" w:cs="Times New Roman"/>
          <w:color w:val="000000" w:themeColor="text1"/>
          <w:sz w:val="24"/>
          <w:szCs w:val="24"/>
          <w:highlight w:val="none"/>
          <w14:textFill>
            <w14:solidFill>
              <w14:schemeClr w14:val="tx1"/>
            </w14:solidFill>
          </w14:textFill>
        </w:rPr>
        <w:t>混凝土</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物理</w:t>
      </w:r>
      <w:r>
        <w:rPr>
          <w:rFonts w:hint="default" w:ascii="Times New Roman" w:hAnsi="Times New Roman" w:eastAsia="宋体" w:cs="Times New Roman"/>
          <w:color w:val="000000" w:themeColor="text1"/>
          <w:sz w:val="24"/>
          <w:szCs w:val="24"/>
          <w:highlight w:val="none"/>
          <w14:textFill>
            <w14:solidFill>
              <w14:schemeClr w14:val="tx1"/>
            </w14:solidFill>
          </w14:textFill>
        </w:rPr>
        <w:t>力学性能试验方法标准</w:t>
      </w:r>
      <w:r>
        <w:rPr>
          <w:rFonts w:hint="default" w:ascii="Times New Roman" w:hAnsi="Times New Roman" w:cs="Times New Roman" w:eastAsiaTheme="minorEastAsia"/>
          <w:b w:val="0"/>
          <w:bCs w:val="0"/>
          <w:sz w:val="24"/>
          <w:szCs w:val="24"/>
          <w:highlight w:val="none"/>
        </w:rPr>
        <w:t>》GB/T 50080的有关规定执行。</w:t>
      </w:r>
    </w:p>
    <w:p w14:paraId="64E71DCE">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Chars="0"/>
        <w:textAlignment w:val="auto"/>
        <w:rPr>
          <w:rFonts w:hint="default" w:ascii="Times New Roman" w:hAnsi="Times New Roman" w:cs="Times New Roman" w:eastAsiaTheme="minorEastAsia"/>
          <w:b w:val="0"/>
          <w:bCs w:val="0"/>
          <w:sz w:val="24"/>
          <w:szCs w:val="24"/>
          <w:highlight w:val="none"/>
        </w:rPr>
      </w:pPr>
    </w:p>
    <w:p w14:paraId="49F8D39E">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35" w:name="_Toc4658"/>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4.2</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力学性能</w:t>
      </w:r>
      <w:bookmarkEnd w:id="35"/>
    </w:p>
    <w:p w14:paraId="68764876">
      <w:pPr>
        <w:pStyle w:val="61"/>
        <w:keepNext w:val="0"/>
        <w:keepLines w:val="0"/>
        <w:pageBreakBefore w:val="0"/>
        <w:widowControl/>
        <w:numPr>
          <w:ilvl w:val="0"/>
          <w:numId w:val="9"/>
        </w:numPr>
        <w:kinsoku/>
        <w:wordWrap/>
        <w:overflowPunct/>
        <w:topLinePunct w:val="0"/>
        <w:autoSpaceDE/>
        <w:autoSpaceDN/>
        <w:bidi w:val="0"/>
        <w:adjustRightInd/>
        <w:snapToGrid/>
        <w:spacing w:before="0" w:beforeLines="0" w:after="0" w:afterLines="0" w:line="400" w:lineRule="exact"/>
        <w:ind w:left="0" w:leftChars="0" w:firstLine="0" w:firstLineChars="0"/>
        <w:textAlignment w:val="auto"/>
        <w:outlineLvl w:val="9"/>
        <w:rPr>
          <w:rFonts w:hint="default" w:ascii="Times New Roman" w:hAnsi="Times New Roman" w:cs="Times New Roman" w:eastAsiaTheme="minorEastAsia"/>
          <w:b w:val="0"/>
          <w:bCs w:val="0"/>
          <w:sz w:val="24"/>
          <w:szCs w:val="24"/>
          <w:highlight w:val="none"/>
          <w:lang w:val="en-US" w:eastAsia="zh-CN" w:bidi="ar-SA"/>
        </w:rPr>
      </w:pPr>
      <w:r>
        <w:rPr>
          <w:rFonts w:hint="eastAsia" w:ascii="Times New Roman" w:cs="Times New Roman" w:eastAsiaTheme="minorEastAsia"/>
          <w:b w:val="0"/>
          <w:bCs w:val="0"/>
          <w:sz w:val="24"/>
          <w:szCs w:val="24"/>
          <w:highlight w:val="none"/>
          <w:lang w:val="en-US" w:eastAsia="zh-CN" w:bidi="ar-SA"/>
        </w:rPr>
        <w:t>花岗岩石粉</w:t>
      </w:r>
      <w:r>
        <w:rPr>
          <w:rFonts w:hint="default" w:ascii="Times New Roman" w:hAnsi="Times New Roman" w:cs="Times New Roman" w:eastAsiaTheme="minorEastAsia"/>
          <w:b w:val="0"/>
          <w:bCs w:val="0"/>
          <w:sz w:val="24"/>
          <w:szCs w:val="24"/>
          <w:highlight w:val="none"/>
          <w:lang w:val="en-US" w:eastAsia="zh-CN" w:bidi="ar-SA"/>
        </w:rPr>
        <w:t>混凝土</w:t>
      </w:r>
      <w:r>
        <w:rPr>
          <w:rFonts w:hint="eastAsia" w:ascii="Times New Roman" w:cs="Times New Roman" w:eastAsiaTheme="minorEastAsia"/>
          <w:b w:val="0"/>
          <w:bCs w:val="0"/>
          <w:sz w:val="24"/>
          <w:szCs w:val="24"/>
          <w:highlight w:val="none"/>
          <w:lang w:val="en-US" w:eastAsia="zh-CN" w:bidi="ar-SA"/>
        </w:rPr>
        <w:t>的</w:t>
      </w:r>
      <w:r>
        <w:rPr>
          <w:rFonts w:hint="default" w:ascii="Times New Roman" w:hAnsi="Times New Roman" w:cs="Times New Roman" w:eastAsiaTheme="minorEastAsia"/>
          <w:b w:val="0"/>
          <w:bCs w:val="0"/>
          <w:sz w:val="24"/>
          <w:szCs w:val="24"/>
          <w:highlight w:val="none"/>
          <w:lang w:val="en-US" w:eastAsia="zh-CN" w:bidi="ar-SA"/>
        </w:rPr>
        <w:t>强度等级应划分为：C10、C15、C20、C25、C30、C35、C40、C45、C50、C55、C60、C65、C70、C75、C80、C85、C90、C95、C100。</w:t>
      </w:r>
    </w:p>
    <w:p w14:paraId="316388BE">
      <w:pPr>
        <w:pStyle w:val="61"/>
        <w:keepNext w:val="0"/>
        <w:keepLines w:val="0"/>
        <w:pageBreakBefore w:val="0"/>
        <w:widowControl/>
        <w:numPr>
          <w:ilvl w:val="0"/>
          <w:numId w:val="9"/>
        </w:numPr>
        <w:kinsoku/>
        <w:wordWrap/>
        <w:overflowPunct/>
        <w:topLinePunct w:val="0"/>
        <w:autoSpaceDE/>
        <w:autoSpaceDN/>
        <w:bidi w:val="0"/>
        <w:adjustRightInd/>
        <w:snapToGrid/>
        <w:spacing w:before="0" w:beforeLines="0" w:after="0" w:afterLines="0" w:line="400" w:lineRule="exact"/>
        <w:ind w:left="0" w:leftChars="0" w:firstLine="0" w:firstLineChars="0"/>
        <w:textAlignment w:val="auto"/>
        <w:outlineLvl w:val="9"/>
        <w:rPr>
          <w:rFonts w:hint="default" w:ascii="Times New Roman" w:hAnsi="Times New Roman" w:eastAsia="宋体" w:cs="Times New Roman"/>
          <w:b w:val="0"/>
          <w:bCs w:val="0"/>
          <w:sz w:val="24"/>
          <w:szCs w:val="24"/>
          <w:highlight w:val="none"/>
          <w:lang w:val="en-US" w:eastAsia="zh-CN" w:bidi="ar-SA"/>
        </w:rPr>
      </w:pPr>
      <w:r>
        <w:rPr>
          <w:rFonts w:hint="default" w:ascii="Times New Roman" w:hAnsi="Times New Roman" w:eastAsia="宋体" w:cs="Times New Roman"/>
          <w:b w:val="0"/>
          <w:bCs w:val="0"/>
          <w:sz w:val="24"/>
          <w:szCs w:val="24"/>
          <w:highlight w:val="none"/>
          <w:lang w:val="en-US" w:eastAsia="zh-CN" w:bidi="ar-SA"/>
        </w:rPr>
        <w:t>花岗岩石粉混凝土</w:t>
      </w:r>
      <w:r>
        <w:rPr>
          <w:rFonts w:hint="eastAsia" w:ascii="Times New Roman" w:hAnsi="Times New Roman" w:eastAsia="宋体" w:cs="Times New Roman"/>
          <w:b w:val="0"/>
          <w:bCs w:val="0"/>
          <w:sz w:val="24"/>
          <w:szCs w:val="24"/>
          <w:highlight w:val="none"/>
          <w:lang w:val="en-US" w:eastAsia="zh-CN" w:bidi="ar-SA"/>
        </w:rPr>
        <w:t>的</w:t>
      </w:r>
      <w:r>
        <w:rPr>
          <w:rFonts w:hint="default" w:ascii="Times New Roman" w:hAnsi="Times New Roman" w:eastAsia="宋体" w:cs="Times New Roman"/>
          <w:b w:val="0"/>
          <w:bCs w:val="0"/>
          <w:sz w:val="24"/>
          <w:szCs w:val="24"/>
          <w:highlight w:val="none"/>
          <w:lang w:val="en-US" w:eastAsia="zh-CN" w:bidi="ar-SA"/>
        </w:rPr>
        <w:t>力学性能应满足设计和施工要求。</w:t>
      </w:r>
    </w:p>
    <w:p w14:paraId="3B0A3373">
      <w:pPr>
        <w:pStyle w:val="61"/>
        <w:keepNext w:val="0"/>
        <w:keepLines w:val="0"/>
        <w:pageBreakBefore w:val="0"/>
        <w:widowControl/>
        <w:numPr>
          <w:ilvl w:val="0"/>
          <w:numId w:val="9"/>
        </w:numPr>
        <w:kinsoku/>
        <w:wordWrap/>
        <w:overflowPunct/>
        <w:topLinePunct w:val="0"/>
        <w:autoSpaceDE/>
        <w:autoSpaceDN/>
        <w:bidi w:val="0"/>
        <w:adjustRightInd/>
        <w:snapToGrid/>
        <w:spacing w:before="0" w:beforeLines="0" w:after="0" w:afterLines="0" w:line="400" w:lineRule="exact"/>
        <w:ind w:left="0" w:leftChars="0" w:firstLine="0" w:firstLineChars="0"/>
        <w:textAlignment w:val="auto"/>
        <w:outlineLvl w:val="9"/>
        <w:rPr>
          <w:rFonts w:hint="default" w:ascii="Times New Roman" w:hAnsi="Times New Roman" w:eastAsia="宋体" w:cs="Times New Roman"/>
          <w:b w:val="0"/>
          <w:bCs w:val="0"/>
          <w:sz w:val="24"/>
          <w:szCs w:val="24"/>
          <w:highlight w:val="none"/>
          <w:lang w:val="en-US" w:eastAsia="zh-CN" w:bidi="ar-SA"/>
        </w:rPr>
      </w:pPr>
      <w:bookmarkStart w:id="36" w:name="_Toc514685627"/>
      <w:bookmarkStart w:id="37" w:name="_Toc23260828"/>
      <w:bookmarkStart w:id="38" w:name="_Toc15053041"/>
      <w:r>
        <w:rPr>
          <w:rFonts w:hint="default" w:ascii="Times New Roman" w:hAnsi="Times New Roman" w:eastAsia="宋体" w:cs="Times New Roman"/>
          <w:b w:val="0"/>
          <w:bCs w:val="0"/>
          <w:sz w:val="24"/>
          <w:szCs w:val="24"/>
          <w:highlight w:val="none"/>
          <w:lang w:val="en-US" w:eastAsia="zh-CN" w:bidi="ar-SA"/>
        </w:rPr>
        <w:t>花岗岩石粉混凝土</w:t>
      </w:r>
      <w:r>
        <w:rPr>
          <w:rFonts w:hint="eastAsia" w:ascii="Times New Roman" w:hAnsi="Times New Roman" w:eastAsia="宋体" w:cs="Times New Roman"/>
          <w:b w:val="0"/>
          <w:bCs w:val="0"/>
          <w:sz w:val="24"/>
          <w:szCs w:val="24"/>
          <w:highlight w:val="none"/>
          <w:lang w:val="en-US" w:eastAsia="zh-CN" w:bidi="ar-SA"/>
        </w:rPr>
        <w:t>的</w:t>
      </w:r>
      <w:r>
        <w:rPr>
          <w:rFonts w:hint="default" w:ascii="Times New Roman" w:hAnsi="Times New Roman" w:eastAsia="宋体" w:cs="Times New Roman"/>
          <w:b w:val="0"/>
          <w:bCs w:val="0"/>
          <w:sz w:val="24"/>
          <w:szCs w:val="24"/>
          <w:highlight w:val="none"/>
          <w:lang w:val="en-US" w:eastAsia="zh-CN" w:bidi="ar-SA"/>
        </w:rPr>
        <w:t>力学性能试验方法应按现行国家标准《混凝土物理力学性能试验方法标准》GB/T 50081的有关规定执行</w:t>
      </w:r>
      <w:bookmarkEnd w:id="36"/>
      <w:bookmarkEnd w:id="37"/>
      <w:bookmarkEnd w:id="38"/>
      <w:r>
        <w:rPr>
          <w:rFonts w:hint="default" w:ascii="Times New Roman" w:hAnsi="Times New Roman" w:eastAsia="宋体" w:cs="Times New Roman"/>
          <w:b w:val="0"/>
          <w:bCs w:val="0"/>
          <w:sz w:val="24"/>
          <w:szCs w:val="24"/>
          <w:highlight w:val="none"/>
          <w:lang w:val="en-US" w:eastAsia="zh-CN" w:bidi="ar-SA"/>
        </w:rPr>
        <w:t>。</w:t>
      </w:r>
    </w:p>
    <w:p w14:paraId="3D8816FD">
      <w:pPr>
        <w:pStyle w:val="61"/>
        <w:keepNext w:val="0"/>
        <w:keepLines w:val="0"/>
        <w:pageBreakBefore w:val="0"/>
        <w:widowControl/>
        <w:numPr>
          <w:ilvl w:val="0"/>
          <w:numId w:val="9"/>
        </w:numPr>
        <w:kinsoku/>
        <w:wordWrap/>
        <w:overflowPunct/>
        <w:topLinePunct w:val="0"/>
        <w:autoSpaceDE/>
        <w:autoSpaceDN/>
        <w:bidi w:val="0"/>
        <w:adjustRightInd/>
        <w:snapToGrid/>
        <w:spacing w:before="0" w:beforeLines="0" w:after="0" w:afterLines="0" w:line="400" w:lineRule="exact"/>
        <w:ind w:left="0" w:leftChars="0" w:firstLine="0" w:firstLineChars="0"/>
        <w:textAlignment w:val="auto"/>
        <w:outlineLvl w:val="9"/>
        <w:rPr>
          <w:rFonts w:hint="default" w:ascii="Times New Roman" w:hAnsi="Times New Roman" w:eastAsia="宋体" w:cs="Times New Roman"/>
          <w:b w:val="0"/>
          <w:bCs w:val="0"/>
          <w:sz w:val="24"/>
          <w:szCs w:val="24"/>
          <w:highlight w:val="none"/>
          <w:lang w:val="en-US" w:eastAsia="zh-CN" w:bidi="ar-SA"/>
        </w:rPr>
      </w:pPr>
      <w:r>
        <w:rPr>
          <w:rFonts w:hint="eastAsia" w:ascii="Times New Roman" w:eastAsia="宋体" w:cs="Times New Roman"/>
          <w:b w:val="0"/>
          <w:bCs w:val="0"/>
          <w:sz w:val="24"/>
          <w:szCs w:val="24"/>
          <w:highlight w:val="none"/>
          <w:lang w:val="en-US" w:eastAsia="zh-CN" w:bidi="ar-SA"/>
        </w:rPr>
        <w:t>花岗岩石粉</w:t>
      </w:r>
      <w:r>
        <w:rPr>
          <w:rFonts w:hint="eastAsia" w:ascii="Times New Roman" w:hAnsi="Times New Roman" w:eastAsia="宋体" w:cs="Times New Roman"/>
          <w:b w:val="0"/>
          <w:bCs w:val="0"/>
          <w:sz w:val="24"/>
          <w:szCs w:val="24"/>
          <w:highlight w:val="none"/>
          <w:lang w:val="en-US" w:eastAsia="zh-CN" w:bidi="ar-SA"/>
        </w:rPr>
        <w:t>混凝土抗压强度应按现行国家标准《混凝土强度检验评定标准》GB/T 50107的有关规定进行检验评定，并应合格。</w:t>
      </w:r>
    </w:p>
    <w:p w14:paraId="0093BCC9">
      <w:pPr>
        <w:pStyle w:val="44"/>
        <w:numPr>
          <w:ilvl w:val="1"/>
          <w:numId w:val="0"/>
        </w:numPr>
        <w:ind w:left="0" w:leftChars="0" w:firstLine="0" w:firstLineChars="0"/>
        <w:jc w:val="center"/>
        <w:rPr>
          <w:rFonts w:hint="eastAsia" w:ascii="Times New Roman" w:hAnsi="Times New Roman" w:cs="Times New Roman"/>
          <w:b w:val="0"/>
          <w:bCs w:val="0"/>
          <w:i w:val="0"/>
          <w:iCs w:val="0"/>
          <w:caps w:val="0"/>
          <w:strike w:val="0"/>
          <w:dstrike w:val="0"/>
          <w:vanish w:val="0"/>
          <w:color w:val="auto"/>
          <w:spacing w:val="0"/>
          <w:kern w:val="0"/>
          <w:position w:val="0"/>
          <w:sz w:val="24"/>
          <w:szCs w:val="24"/>
          <w:highlight w:val="none"/>
          <w:u w:val="none"/>
          <w:vertAlign w:val="baseline"/>
          <w:lang w:val="en-US" w:eastAsia="zh-CN" w:bidi="ar-SA"/>
        </w:rPr>
      </w:pPr>
    </w:p>
    <w:p w14:paraId="29615EB2">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39" w:name="_Toc17477"/>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4.3　长期性能与耐久性能</w:t>
      </w:r>
      <w:bookmarkEnd w:id="39"/>
    </w:p>
    <w:p w14:paraId="6BAE7F40">
      <w:pPr>
        <w:keepNext w:val="0"/>
        <w:keepLines w:val="0"/>
        <w:pageBreakBefore w:val="0"/>
        <w:widowControl/>
        <w:numPr>
          <w:ilvl w:val="0"/>
          <w:numId w:val="10"/>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lang w:val="en-US" w:eastAsia="zh-CN" w:bidi="ar-SA"/>
        </w:rPr>
      </w:pPr>
      <w:r>
        <w:rPr>
          <w:rFonts w:hint="default" w:ascii="Times New Roman" w:hAnsi="Times New Roman" w:cs="Times New Roman" w:eastAsiaTheme="minorEastAsia"/>
          <w:b w:val="0"/>
          <w:bCs w:val="0"/>
          <w:sz w:val="24"/>
          <w:szCs w:val="24"/>
          <w:highlight w:val="none"/>
          <w:lang w:val="en-US" w:eastAsia="zh-CN" w:bidi="ar-SA"/>
        </w:rPr>
        <w:t>当有预防碱骨料反应要求时，花岗岩石粉混凝土应符合现行国家标准《预防混凝土碱骨料反应技术规范》GB/T 50733</w:t>
      </w:r>
      <w:r>
        <w:rPr>
          <w:rFonts w:hint="eastAsia" w:ascii="Times New Roman" w:hAnsi="Times New Roman" w:cs="Times New Roman"/>
          <w:b w:val="0"/>
          <w:bCs w:val="0"/>
          <w:sz w:val="24"/>
          <w:szCs w:val="24"/>
          <w:highlight w:val="none"/>
          <w:lang w:val="en-US" w:eastAsia="zh-CN" w:bidi="ar-SA"/>
        </w:rPr>
        <w:t xml:space="preserve"> </w:t>
      </w:r>
      <w:r>
        <w:rPr>
          <w:rFonts w:hint="default" w:ascii="Times New Roman" w:hAnsi="Times New Roman" w:cs="Times New Roman" w:eastAsiaTheme="minorEastAsia"/>
          <w:b w:val="0"/>
          <w:bCs w:val="0"/>
          <w:sz w:val="24"/>
          <w:szCs w:val="24"/>
          <w:highlight w:val="none"/>
          <w:lang w:val="en-US" w:eastAsia="zh-CN" w:bidi="ar-SA"/>
        </w:rPr>
        <w:t>的有关规定。</w:t>
      </w:r>
    </w:p>
    <w:p w14:paraId="72644F3D">
      <w:pPr>
        <w:keepNext w:val="0"/>
        <w:keepLines w:val="0"/>
        <w:pageBreakBefore w:val="0"/>
        <w:widowControl/>
        <w:numPr>
          <w:ilvl w:val="0"/>
          <w:numId w:val="10"/>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lang w:val="en-US" w:eastAsia="zh-CN" w:bidi="ar-SA"/>
        </w:rPr>
      </w:pPr>
      <w:r>
        <w:rPr>
          <w:rFonts w:hint="eastAsia" w:ascii="Times New Roman" w:hAnsi="Times New Roman" w:cs="Times New Roman"/>
          <w:b w:val="0"/>
          <w:bCs w:val="0"/>
          <w:sz w:val="24"/>
          <w:szCs w:val="24"/>
          <w:highlight w:val="none"/>
          <w:lang w:val="en-US" w:eastAsia="zh-CN" w:bidi="ar-SA"/>
        </w:rPr>
        <w:t>花岗岩石粉</w:t>
      </w:r>
      <w:r>
        <w:rPr>
          <w:rFonts w:hint="default" w:ascii="Times New Roman" w:hAnsi="Times New Roman" w:cs="Times New Roman" w:eastAsiaTheme="minorEastAsia"/>
          <w:b w:val="0"/>
          <w:bCs w:val="0"/>
          <w:sz w:val="24"/>
          <w:szCs w:val="24"/>
          <w:highlight w:val="none"/>
          <w:lang w:val="en-US" w:eastAsia="zh-CN" w:bidi="ar-SA"/>
        </w:rPr>
        <w:t>混凝土的耐久性能等级划分应符合GB/T 14902的规定。</w:t>
      </w:r>
    </w:p>
    <w:p w14:paraId="7E4DBC24">
      <w:pPr>
        <w:keepNext w:val="0"/>
        <w:keepLines w:val="0"/>
        <w:pageBreakBefore w:val="0"/>
        <w:widowControl/>
        <w:numPr>
          <w:ilvl w:val="0"/>
          <w:numId w:val="10"/>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eastAsia" w:ascii="Times New Roman" w:hAnsi="Times New Roman" w:cs="Times New Roman"/>
          <w:b w:val="0"/>
          <w:bCs w:val="0"/>
          <w:sz w:val="24"/>
          <w:szCs w:val="24"/>
          <w:highlight w:val="none"/>
          <w:lang w:val="en-US" w:eastAsia="zh-CN" w:bidi="ar-SA"/>
        </w:rPr>
      </w:pPr>
      <w:r>
        <w:rPr>
          <w:rFonts w:hint="default" w:ascii="Times New Roman" w:hAnsi="Times New Roman" w:eastAsia="宋体" w:cs="Times New Roman"/>
          <w:b w:val="0"/>
          <w:bCs w:val="0"/>
          <w:sz w:val="24"/>
          <w:szCs w:val="24"/>
          <w:highlight w:val="none"/>
          <w:lang w:val="en-US" w:eastAsia="zh-CN" w:bidi="ar-SA"/>
        </w:rPr>
        <w:t>花岗岩石粉混凝土</w:t>
      </w:r>
      <w:r>
        <w:rPr>
          <w:rFonts w:hint="eastAsia" w:ascii="Times New Roman" w:hAnsi="Times New Roman" w:eastAsia="宋体" w:cs="Times New Roman"/>
          <w:b w:val="0"/>
          <w:bCs w:val="0"/>
          <w:sz w:val="24"/>
          <w:szCs w:val="24"/>
          <w:highlight w:val="none"/>
          <w:lang w:val="en-US" w:eastAsia="zh-CN" w:bidi="ar-SA"/>
        </w:rPr>
        <w:t>耐久</w:t>
      </w:r>
      <w:r>
        <w:rPr>
          <w:rFonts w:hint="default" w:ascii="Times New Roman" w:hAnsi="Times New Roman" w:eastAsia="宋体" w:cs="Times New Roman"/>
          <w:b w:val="0"/>
          <w:bCs w:val="0"/>
          <w:sz w:val="24"/>
          <w:szCs w:val="24"/>
          <w:highlight w:val="none"/>
          <w:lang w:val="en-US" w:eastAsia="zh-CN" w:bidi="ar-SA"/>
        </w:rPr>
        <w:t>性能试验方法应按现行国家标准</w:t>
      </w:r>
      <w:r>
        <w:rPr>
          <w:rFonts w:hint="eastAsia" w:ascii="Times New Roman" w:hAnsi="Times New Roman" w:cs="Times New Roman"/>
          <w:b w:val="0"/>
          <w:bCs w:val="0"/>
          <w:sz w:val="24"/>
          <w:szCs w:val="24"/>
          <w:highlight w:val="none"/>
          <w:lang w:val="en-US" w:eastAsia="zh-CN" w:bidi="ar-SA"/>
        </w:rPr>
        <w:t>《普通混凝土长期性能和耐久性能试验方法标准》GB/T50082</w:t>
      </w:r>
      <w:r>
        <w:rPr>
          <w:rFonts w:hint="default" w:ascii="Times New Roman" w:hAnsi="Times New Roman" w:eastAsia="宋体" w:cs="Times New Roman"/>
          <w:b w:val="0"/>
          <w:bCs w:val="0"/>
          <w:sz w:val="24"/>
          <w:szCs w:val="24"/>
          <w:highlight w:val="none"/>
          <w:lang w:val="en-US" w:eastAsia="zh-CN" w:bidi="ar-SA"/>
        </w:rPr>
        <w:t>的有关规定执行</w:t>
      </w:r>
      <w:r>
        <w:rPr>
          <w:rFonts w:hint="eastAsia" w:ascii="Times New Roman" w:hAnsi="Times New Roman" w:cs="Times New Roman"/>
          <w:b w:val="0"/>
          <w:bCs w:val="0"/>
          <w:sz w:val="24"/>
          <w:szCs w:val="24"/>
          <w:highlight w:val="none"/>
          <w:lang w:val="en-US" w:eastAsia="zh-CN" w:bidi="ar-SA"/>
        </w:rPr>
        <w:t>。</w:t>
      </w:r>
    </w:p>
    <w:p w14:paraId="53276842">
      <w:pPr>
        <w:keepNext w:val="0"/>
        <w:keepLines w:val="0"/>
        <w:pageBreakBefore w:val="0"/>
        <w:widowControl/>
        <w:numPr>
          <w:ilvl w:val="0"/>
          <w:numId w:val="10"/>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eastAsia" w:ascii="Times New Roman" w:hAnsi="Times New Roman" w:cs="Times New Roman"/>
          <w:b w:val="0"/>
          <w:bCs w:val="0"/>
          <w:sz w:val="24"/>
          <w:szCs w:val="24"/>
          <w:highlight w:val="none"/>
          <w:lang w:val="en-US" w:eastAsia="zh-CN" w:bidi="ar-SA"/>
        </w:rPr>
      </w:pPr>
      <w:r>
        <w:rPr>
          <w:rFonts w:hint="eastAsia" w:ascii="Times New Roman" w:hAnsi="Times New Roman" w:cs="Times New Roman"/>
          <w:b w:val="0"/>
          <w:bCs w:val="0"/>
          <w:sz w:val="24"/>
          <w:szCs w:val="24"/>
          <w:highlight w:val="none"/>
          <w:lang w:val="en-US" w:eastAsia="zh-CN" w:bidi="ar-SA"/>
        </w:rPr>
        <w:t>花岗岩石粉</w:t>
      </w:r>
      <w:r>
        <w:rPr>
          <w:rFonts w:hint="default" w:ascii="Times New Roman" w:hAnsi="Times New Roman" w:cs="Times New Roman"/>
          <w:b w:val="0"/>
          <w:bCs w:val="0"/>
          <w:sz w:val="24"/>
          <w:szCs w:val="24"/>
          <w:highlight w:val="none"/>
          <w:lang w:val="en-US" w:eastAsia="zh-CN" w:bidi="ar-SA"/>
        </w:rPr>
        <w:t>混凝土的耐久性能应满足设计要求，检验评定应符合JGJ/T 193的规定</w:t>
      </w:r>
      <w:r>
        <w:rPr>
          <w:rFonts w:hint="eastAsia" w:ascii="Times New Roman" w:hAnsi="Times New Roman" w:cs="Times New Roman"/>
          <w:b w:val="0"/>
          <w:bCs w:val="0"/>
          <w:sz w:val="24"/>
          <w:szCs w:val="24"/>
          <w:highlight w:val="none"/>
          <w:lang w:val="en-US" w:eastAsia="zh-CN" w:bidi="ar-SA"/>
        </w:rPr>
        <w:t>。</w:t>
      </w:r>
    </w:p>
    <w:p w14:paraId="2EF8B153">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jc w:val="both"/>
        <w:textAlignment w:val="auto"/>
        <w:rPr>
          <w:rFonts w:hint="eastAsia" w:ascii="Times New Roman" w:hAnsi="Times New Roman" w:cs="Times New Roman"/>
          <w:b w:val="0"/>
          <w:bCs w:val="0"/>
          <w:sz w:val="24"/>
          <w:szCs w:val="24"/>
          <w:highlight w:val="none"/>
          <w:lang w:val="en-US" w:eastAsia="zh-CN" w:bidi="ar-SA"/>
        </w:rPr>
      </w:pPr>
    </w:p>
    <w:p w14:paraId="612F561A">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jc w:val="both"/>
        <w:textAlignment w:val="auto"/>
        <w:rPr>
          <w:rFonts w:hint="eastAsia" w:ascii="Times New Roman" w:hAnsi="Times New Roman" w:cs="Times New Roman"/>
          <w:b w:val="0"/>
          <w:bCs w:val="0"/>
          <w:sz w:val="24"/>
          <w:szCs w:val="24"/>
          <w:highlight w:val="none"/>
          <w:lang w:val="en-US" w:eastAsia="zh-CN" w:bidi="ar-SA"/>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14:paraId="2E306A6F">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eastAsia" w:ascii="Times New Roman" w:hAnsi="Times New Roman" w:eastAsia="黑体" w:cs="Times New Roman"/>
          <w:b w:val="0"/>
          <w:i w:val="0"/>
          <w:sz w:val="32"/>
          <w:szCs w:val="32"/>
          <w:highlight w:val="none"/>
          <w:lang w:val="en-US" w:eastAsia="zh-CN" w:bidi="ar-SA"/>
        </w:rPr>
      </w:pPr>
      <w:bookmarkStart w:id="40" w:name="_Toc8074"/>
      <w:r>
        <w:rPr>
          <w:rFonts w:hint="eastAsia" w:ascii="Times New Roman" w:hAnsi="Times New Roman" w:eastAsia="黑体" w:cs="Times New Roman"/>
          <w:b w:val="0"/>
          <w:i w:val="0"/>
          <w:sz w:val="32"/>
          <w:szCs w:val="32"/>
          <w:highlight w:val="none"/>
          <w:lang w:val="en-US" w:eastAsia="zh-CN" w:bidi="ar-SA"/>
        </w:rPr>
        <w:t>5　配合比设计</w:t>
      </w:r>
      <w:bookmarkEnd w:id="40"/>
    </w:p>
    <w:p w14:paraId="2A135CC1">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掺花岗岩石粉的混凝土配合比设计应根据混凝土强度等级、施工性能、长期性能和耐久性能的要求，在满足设计和施工要求的条件下，</w:t>
      </w:r>
      <w:r>
        <w:rPr>
          <w:rFonts w:hint="eastAsia" w:ascii="Times New Roman" w:hAnsi="Times New Roman" w:cs="Times New Roman"/>
          <w:b w:val="0"/>
          <w:bCs w:val="0"/>
          <w:sz w:val="24"/>
          <w:szCs w:val="24"/>
          <w:highlight w:val="none"/>
          <w:lang w:val="en-US" w:eastAsia="zh-CN"/>
        </w:rPr>
        <w:t>参照</w:t>
      </w:r>
      <w:r>
        <w:rPr>
          <w:rFonts w:hint="default" w:ascii="Times New Roman" w:hAnsi="Times New Roman" w:cs="Times New Roman" w:eastAsiaTheme="minorEastAsia"/>
          <w:b w:val="0"/>
          <w:bCs w:val="0"/>
          <w:sz w:val="24"/>
          <w:szCs w:val="24"/>
          <w:highlight w:val="none"/>
        </w:rPr>
        <w:t>现行行业标准《普通混凝土配合比设计规程》JGJ 55的有关规定进行。</w:t>
      </w:r>
    </w:p>
    <w:p w14:paraId="0524180B">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配合比计算时，应将花岗岩石粉用量计入胶凝材料用量。</w:t>
      </w:r>
    </w:p>
    <w:p w14:paraId="33156702">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lang w:val="en-US" w:eastAsia="zh-CN"/>
        </w:rPr>
        <w:t>Ⅰ</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级花岗岩石粉在混凝土中的掺量应通过试验确定。采用硅酸盐水泥或普通硅酸盐水泥时，混凝土中</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Ⅰ</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级花岗岩石粉最大掺量宜符合表</w:t>
      </w:r>
      <w:r>
        <w:rPr>
          <w:rFonts w:hint="default" w:ascii="Times New Roman" w:hAnsi="Times New Roman" w:cs="Times New Roman" w:eastAsiaTheme="minorEastAsia"/>
          <w:b w:val="0"/>
          <w:bCs w:val="0"/>
          <w:sz w:val="24"/>
          <w:szCs w:val="24"/>
          <w:highlight w:val="none"/>
          <w:lang w:val="en-US" w:eastAsia="zh-CN"/>
        </w:rPr>
        <w:t>5</w:t>
      </w:r>
      <w:r>
        <w:rPr>
          <w:rFonts w:hint="default" w:ascii="Times New Roman" w:hAnsi="Times New Roman" w:cs="Times New Roman" w:eastAsiaTheme="minorEastAsia"/>
          <w:b w:val="0"/>
          <w:bCs w:val="0"/>
          <w:sz w:val="24"/>
          <w:szCs w:val="24"/>
          <w:highlight w:val="none"/>
        </w:rPr>
        <w:t>.0.2的规定。</w:t>
      </w:r>
    </w:p>
    <w:p w14:paraId="78D4DD1C">
      <w:pPr>
        <w:keepNext w:val="0"/>
        <w:keepLines w:val="0"/>
        <w:pageBreakBefore w:val="0"/>
        <w:widowControl/>
        <w:kinsoku/>
        <w:wordWrap/>
        <w:overflowPunct/>
        <w:topLinePunct w:val="0"/>
        <w:autoSpaceDE w:val="0"/>
        <w:autoSpaceDN w:val="0"/>
        <w:bidi w:val="0"/>
        <w:adjustRightInd/>
        <w:snapToGrid/>
        <w:spacing w:before="157" w:beforeLines="50"/>
        <w:jc w:val="center"/>
        <w:textAlignment w:val="auto"/>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pPr>
      <w:r>
        <w:rPr>
          <w:rFonts w:hint="eastAsia" w:ascii="Times New Roman" w:hAnsi="Times New Roman" w:eastAsia="黑体" w:cs="Times New Roman"/>
          <w:b w:val="0"/>
          <w:bCs w:val="0"/>
          <w:color w:val="000000" w:themeColor="text1"/>
          <w:sz w:val="21"/>
          <w:szCs w:val="21"/>
          <w:highlight w:val="none"/>
          <w14:textFill>
            <w14:solidFill>
              <w14:schemeClr w14:val="tx1"/>
            </w14:solidFill>
          </w14:textFill>
        </w:rPr>
        <w:t>表</w:t>
      </w:r>
      <w:r>
        <w:rPr>
          <w:rFonts w:hint="eastAsia"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5</w:t>
      </w: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.0.2</w:t>
      </w:r>
      <w:r>
        <w:rPr>
          <w:rFonts w:hint="eastAsia"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 xml:space="preserve"> </w:t>
      </w: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混凝土中Ⅰ级花岗岩石粉最大掺量（%）</w:t>
      </w:r>
    </w:p>
    <w:tbl>
      <w:tblPr>
        <w:tblStyle w:val="22"/>
        <w:tblW w:w="5000" w:type="pct"/>
        <w:tblInd w:w="0" w:type="dxa"/>
        <w:tblLayout w:type="autofit"/>
        <w:tblCellMar>
          <w:top w:w="0" w:type="dxa"/>
          <w:left w:w="108" w:type="dxa"/>
          <w:bottom w:w="0" w:type="dxa"/>
          <w:right w:w="108" w:type="dxa"/>
        </w:tblCellMar>
      </w:tblPr>
      <w:tblGrid>
        <w:gridCol w:w="1629"/>
        <w:gridCol w:w="3578"/>
        <w:gridCol w:w="4363"/>
      </w:tblGrid>
      <w:tr w14:paraId="5D53AB4C">
        <w:tblPrEx>
          <w:tblCellMar>
            <w:top w:w="0" w:type="dxa"/>
            <w:left w:w="108" w:type="dxa"/>
            <w:bottom w:w="0" w:type="dxa"/>
            <w:right w:w="108" w:type="dxa"/>
          </w:tblCellMar>
        </w:tblPrEx>
        <w:trPr>
          <w:trHeight w:val="397" w:hRule="atLeast"/>
        </w:trPr>
        <w:tc>
          <w:tcPr>
            <w:tcW w:w="851" w:type="pct"/>
            <w:vMerge w:val="restart"/>
            <w:tcBorders>
              <w:top w:val="single" w:color="auto" w:sz="4" w:space="0"/>
              <w:left w:val="single" w:color="auto" w:sz="4" w:space="0"/>
              <w:right w:val="single" w:color="auto" w:sz="4" w:space="0"/>
            </w:tcBorders>
            <w:vAlign w:val="center"/>
          </w:tcPr>
          <w:p w14:paraId="65105AF9">
            <w:pPr>
              <w:ind w:left="0" w:leftChars="0" w:firstLine="0" w:firstLineChars="0"/>
              <w:jc w:val="center"/>
              <w:rPr>
                <w:rFonts w:hint="default" w:ascii="Times New Roman" w:hAnsi="Times New Roman" w:eastAsia="宋体" w:cs="Times New Roman"/>
                <w:b w:val="0"/>
                <w:bCs w:val="0"/>
                <w:sz w:val="21"/>
                <w:szCs w:val="21"/>
                <w:highlight w:val="none"/>
              </w:rPr>
            </w:pPr>
            <w:r>
              <w:rPr>
                <w:rFonts w:hint="default" w:ascii="Times New Roman" w:hAnsi="Times New Roman" w:eastAsia="宋体" w:cs="Times New Roman"/>
                <w:b w:val="0"/>
                <w:bCs w:val="0"/>
                <w:sz w:val="21"/>
                <w:szCs w:val="21"/>
                <w:highlight w:val="none"/>
              </w:rPr>
              <w:t>水胶比</w:t>
            </w:r>
          </w:p>
        </w:tc>
        <w:tc>
          <w:tcPr>
            <w:tcW w:w="4148" w:type="pct"/>
            <w:gridSpan w:val="2"/>
            <w:tcBorders>
              <w:top w:val="single" w:color="auto" w:sz="4" w:space="0"/>
              <w:left w:val="nil"/>
              <w:bottom w:val="single" w:color="auto" w:sz="4" w:space="0"/>
              <w:right w:val="single" w:color="auto" w:sz="4" w:space="0"/>
            </w:tcBorders>
            <w:vAlign w:val="center"/>
          </w:tcPr>
          <w:p w14:paraId="4FF5F8D5">
            <w:pPr>
              <w:ind w:left="0" w:leftChars="0" w:firstLine="0" w:firstLineChars="0"/>
              <w:jc w:val="center"/>
              <w:rPr>
                <w:rFonts w:hint="default" w:ascii="Times New Roman" w:hAnsi="Times New Roman" w:eastAsia="宋体" w:cs="Times New Roman"/>
                <w:b w:val="0"/>
                <w:bCs w:val="0"/>
                <w:sz w:val="21"/>
                <w:szCs w:val="21"/>
                <w:highlight w:val="none"/>
              </w:rPr>
            </w:pPr>
            <w:r>
              <w:rPr>
                <w:rFonts w:hint="default" w:ascii="Times New Roman" w:hAnsi="Times New Roman" w:eastAsia="宋体" w:cs="Times New Roman"/>
                <w:b w:val="0"/>
                <w:bCs w:val="0"/>
                <w:sz w:val="21"/>
                <w:szCs w:val="21"/>
                <w:highlight w:val="none"/>
              </w:rPr>
              <w:t>最大掺量</w:t>
            </w:r>
          </w:p>
        </w:tc>
      </w:tr>
      <w:tr w14:paraId="6A22369A">
        <w:tblPrEx>
          <w:tblCellMar>
            <w:top w:w="0" w:type="dxa"/>
            <w:left w:w="108" w:type="dxa"/>
            <w:bottom w:w="0" w:type="dxa"/>
            <w:right w:w="108" w:type="dxa"/>
          </w:tblCellMar>
        </w:tblPrEx>
        <w:trPr>
          <w:trHeight w:val="397" w:hRule="atLeast"/>
        </w:trPr>
        <w:tc>
          <w:tcPr>
            <w:tcW w:w="851" w:type="pct"/>
            <w:vMerge w:val="continue"/>
            <w:tcBorders>
              <w:left w:val="single" w:color="auto" w:sz="4" w:space="0"/>
              <w:bottom w:val="single" w:color="auto" w:sz="4" w:space="0"/>
              <w:right w:val="single" w:color="auto" w:sz="4" w:space="0"/>
            </w:tcBorders>
            <w:vAlign w:val="center"/>
          </w:tcPr>
          <w:p w14:paraId="3E38D82B">
            <w:pPr>
              <w:ind w:left="0" w:leftChars="0" w:firstLine="0" w:firstLineChars="0"/>
              <w:jc w:val="center"/>
              <w:rPr>
                <w:rFonts w:hint="default" w:ascii="Times New Roman" w:hAnsi="Times New Roman" w:eastAsia="宋体" w:cs="Times New Roman"/>
                <w:b w:val="0"/>
                <w:bCs w:val="0"/>
                <w:sz w:val="21"/>
                <w:szCs w:val="21"/>
                <w:highlight w:val="none"/>
              </w:rPr>
            </w:pPr>
          </w:p>
        </w:tc>
        <w:tc>
          <w:tcPr>
            <w:tcW w:w="1869" w:type="pct"/>
            <w:tcBorders>
              <w:top w:val="single" w:color="auto" w:sz="4" w:space="0"/>
              <w:left w:val="nil"/>
              <w:bottom w:val="single" w:color="auto" w:sz="4" w:space="0"/>
              <w:right w:val="single" w:color="auto" w:sz="4" w:space="0"/>
            </w:tcBorders>
            <w:vAlign w:val="center"/>
          </w:tcPr>
          <w:p w14:paraId="70716B5A">
            <w:pPr>
              <w:ind w:left="0" w:leftChars="0" w:firstLine="0" w:firstLineChars="0"/>
              <w:jc w:val="center"/>
              <w:rPr>
                <w:rFonts w:hint="default" w:ascii="Times New Roman" w:hAnsi="Times New Roman" w:eastAsia="宋体" w:cs="Times New Roman"/>
                <w:b w:val="0"/>
                <w:bCs w:val="0"/>
                <w:sz w:val="21"/>
                <w:szCs w:val="21"/>
                <w:highlight w:val="none"/>
              </w:rPr>
            </w:pPr>
            <w:r>
              <w:rPr>
                <w:rFonts w:hint="default" w:ascii="Times New Roman" w:hAnsi="Times New Roman" w:eastAsia="宋体" w:cs="Times New Roman"/>
                <w:b w:val="0"/>
                <w:bCs w:val="0"/>
                <w:sz w:val="21"/>
                <w:szCs w:val="21"/>
                <w:highlight w:val="none"/>
              </w:rPr>
              <w:t>采用硅酸盐水泥时</w:t>
            </w:r>
          </w:p>
        </w:tc>
        <w:tc>
          <w:tcPr>
            <w:tcW w:w="2278" w:type="pct"/>
            <w:tcBorders>
              <w:top w:val="single" w:color="auto" w:sz="4" w:space="0"/>
              <w:left w:val="nil"/>
              <w:bottom w:val="single" w:color="auto" w:sz="4" w:space="0"/>
              <w:right w:val="single" w:color="auto" w:sz="4" w:space="0"/>
            </w:tcBorders>
            <w:vAlign w:val="center"/>
          </w:tcPr>
          <w:p w14:paraId="50DA21BC">
            <w:pPr>
              <w:ind w:left="0" w:leftChars="0" w:firstLine="0" w:firstLineChars="0"/>
              <w:jc w:val="center"/>
              <w:rPr>
                <w:rFonts w:hint="default" w:ascii="Times New Roman" w:hAnsi="Times New Roman" w:eastAsia="宋体" w:cs="Times New Roman"/>
                <w:b w:val="0"/>
                <w:bCs w:val="0"/>
                <w:sz w:val="21"/>
                <w:szCs w:val="21"/>
                <w:highlight w:val="none"/>
              </w:rPr>
            </w:pPr>
            <w:r>
              <w:rPr>
                <w:rFonts w:hint="default" w:ascii="Times New Roman" w:hAnsi="Times New Roman" w:eastAsia="宋体" w:cs="Times New Roman"/>
                <w:b w:val="0"/>
                <w:bCs w:val="0"/>
                <w:sz w:val="21"/>
                <w:szCs w:val="21"/>
                <w:highlight w:val="none"/>
              </w:rPr>
              <w:t>采用普通硅酸盐水泥时</w:t>
            </w:r>
          </w:p>
        </w:tc>
      </w:tr>
      <w:tr w14:paraId="49E0E9AF">
        <w:tblPrEx>
          <w:tblCellMar>
            <w:top w:w="0" w:type="dxa"/>
            <w:left w:w="108" w:type="dxa"/>
            <w:bottom w:w="0" w:type="dxa"/>
            <w:right w:w="108" w:type="dxa"/>
          </w:tblCellMar>
        </w:tblPrEx>
        <w:trPr>
          <w:trHeight w:val="397" w:hRule="atLeast"/>
        </w:trPr>
        <w:tc>
          <w:tcPr>
            <w:tcW w:w="851" w:type="pct"/>
            <w:tcBorders>
              <w:top w:val="nil"/>
              <w:left w:val="single" w:color="auto" w:sz="4" w:space="0"/>
              <w:bottom w:val="single" w:color="auto" w:sz="4" w:space="0"/>
              <w:right w:val="single" w:color="auto" w:sz="4" w:space="0"/>
            </w:tcBorders>
            <w:vAlign w:val="center"/>
          </w:tcPr>
          <w:p w14:paraId="5243D8B5">
            <w:pPr>
              <w:ind w:left="0" w:leftChars="0" w:firstLine="0" w:firstLineChars="0"/>
              <w:jc w:val="center"/>
              <w:rPr>
                <w:rFonts w:hint="eastAsia" w:ascii="Times New Roman" w:hAnsi="Times New Roman" w:eastAsia="宋体" w:cs="宋体"/>
                <w:b w:val="0"/>
                <w:bCs w:val="0"/>
                <w:sz w:val="21"/>
                <w:szCs w:val="21"/>
                <w:highlight w:val="none"/>
              </w:rPr>
            </w:pPr>
            <w:r>
              <w:rPr>
                <w:rFonts w:hint="eastAsia" w:ascii="Times New Roman" w:hAnsi="Times New Roman" w:eastAsia="宋体" w:cs="宋体"/>
                <w:b w:val="0"/>
                <w:bCs w:val="0"/>
                <w:sz w:val="21"/>
                <w:szCs w:val="21"/>
                <w:highlight w:val="none"/>
                <w:lang w:val="en-US" w:eastAsia="zh-CN"/>
              </w:rPr>
              <w:t>≤</w:t>
            </w:r>
            <w:r>
              <w:rPr>
                <w:rFonts w:hint="eastAsia" w:ascii="Times New Roman" w:hAnsi="Times New Roman" w:eastAsia="宋体" w:cs="宋体"/>
                <w:b w:val="0"/>
                <w:bCs w:val="0"/>
                <w:sz w:val="21"/>
                <w:szCs w:val="21"/>
                <w:highlight w:val="none"/>
              </w:rPr>
              <w:t>0.40</w:t>
            </w:r>
          </w:p>
        </w:tc>
        <w:tc>
          <w:tcPr>
            <w:tcW w:w="1869" w:type="pct"/>
            <w:tcBorders>
              <w:top w:val="single" w:color="auto" w:sz="4" w:space="0"/>
              <w:left w:val="nil"/>
              <w:bottom w:val="single" w:color="auto" w:sz="4" w:space="0"/>
              <w:right w:val="single" w:color="auto" w:sz="4" w:space="0"/>
            </w:tcBorders>
            <w:vAlign w:val="center"/>
          </w:tcPr>
          <w:p w14:paraId="3B510B92">
            <w:pPr>
              <w:ind w:left="0" w:leftChars="0" w:firstLine="0" w:firstLineChars="0"/>
              <w:jc w:val="center"/>
              <w:rPr>
                <w:rFonts w:hint="eastAsia" w:ascii="Times New Roman" w:hAnsi="Times New Roman" w:eastAsia="宋体" w:cs="宋体"/>
                <w:b w:val="0"/>
                <w:bCs w:val="0"/>
                <w:sz w:val="21"/>
                <w:szCs w:val="21"/>
                <w:highlight w:val="none"/>
              </w:rPr>
            </w:pPr>
            <w:r>
              <w:rPr>
                <w:rFonts w:hint="eastAsia" w:ascii="Times New Roman" w:hAnsi="Times New Roman" w:eastAsia="宋体" w:cs="宋体"/>
                <w:b w:val="0"/>
                <w:bCs w:val="0"/>
                <w:sz w:val="21"/>
                <w:szCs w:val="21"/>
                <w:highlight w:val="none"/>
              </w:rPr>
              <w:t>30</w:t>
            </w:r>
          </w:p>
        </w:tc>
        <w:tc>
          <w:tcPr>
            <w:tcW w:w="2278" w:type="pct"/>
            <w:tcBorders>
              <w:top w:val="single" w:color="auto" w:sz="4" w:space="0"/>
              <w:left w:val="nil"/>
              <w:bottom w:val="single" w:color="auto" w:sz="4" w:space="0"/>
              <w:right w:val="single" w:color="auto" w:sz="4" w:space="0"/>
            </w:tcBorders>
            <w:vAlign w:val="center"/>
          </w:tcPr>
          <w:p w14:paraId="5A13AC40">
            <w:pPr>
              <w:ind w:left="0" w:leftChars="0" w:firstLine="0" w:firstLineChars="0"/>
              <w:jc w:val="center"/>
              <w:rPr>
                <w:rFonts w:hint="eastAsia" w:ascii="Times New Roman" w:hAnsi="Times New Roman" w:eastAsia="宋体" w:cs="宋体"/>
                <w:b w:val="0"/>
                <w:bCs w:val="0"/>
                <w:sz w:val="21"/>
                <w:szCs w:val="21"/>
                <w:highlight w:val="none"/>
              </w:rPr>
            </w:pPr>
            <w:r>
              <w:rPr>
                <w:rFonts w:hint="eastAsia" w:ascii="Times New Roman" w:hAnsi="Times New Roman" w:eastAsia="宋体" w:cs="宋体"/>
                <w:b w:val="0"/>
                <w:bCs w:val="0"/>
                <w:sz w:val="21"/>
                <w:szCs w:val="21"/>
                <w:highlight w:val="none"/>
              </w:rPr>
              <w:t>20</w:t>
            </w:r>
          </w:p>
        </w:tc>
      </w:tr>
      <w:tr w14:paraId="15C56C85">
        <w:tblPrEx>
          <w:tblCellMar>
            <w:top w:w="0" w:type="dxa"/>
            <w:left w:w="108" w:type="dxa"/>
            <w:bottom w:w="0" w:type="dxa"/>
            <w:right w:w="108" w:type="dxa"/>
          </w:tblCellMar>
        </w:tblPrEx>
        <w:trPr>
          <w:trHeight w:val="397" w:hRule="atLeast"/>
        </w:trPr>
        <w:tc>
          <w:tcPr>
            <w:tcW w:w="851" w:type="pct"/>
            <w:tcBorders>
              <w:top w:val="single" w:color="auto" w:sz="4" w:space="0"/>
              <w:left w:val="single" w:color="auto" w:sz="4" w:space="0"/>
              <w:bottom w:val="single" w:color="auto" w:sz="4" w:space="0"/>
              <w:right w:val="single" w:color="auto" w:sz="4" w:space="0"/>
            </w:tcBorders>
            <w:vAlign w:val="center"/>
          </w:tcPr>
          <w:p w14:paraId="23559768">
            <w:pPr>
              <w:ind w:left="0" w:leftChars="0" w:firstLine="0" w:firstLineChars="0"/>
              <w:jc w:val="center"/>
              <w:rPr>
                <w:rFonts w:hint="eastAsia" w:ascii="Times New Roman" w:hAnsi="Times New Roman" w:eastAsia="宋体" w:cs="宋体"/>
                <w:b w:val="0"/>
                <w:bCs w:val="0"/>
                <w:sz w:val="21"/>
                <w:szCs w:val="21"/>
                <w:highlight w:val="none"/>
              </w:rPr>
            </w:pPr>
            <w:r>
              <w:rPr>
                <w:rFonts w:hint="eastAsia" w:ascii="Times New Roman" w:hAnsi="Times New Roman" w:eastAsia="宋体" w:cs="宋体"/>
                <w:b w:val="0"/>
                <w:bCs w:val="0"/>
                <w:sz w:val="21"/>
                <w:szCs w:val="21"/>
                <w:highlight w:val="none"/>
                <w:lang w:val="en-US" w:eastAsia="zh-CN"/>
              </w:rPr>
              <w:t>＞</w:t>
            </w:r>
            <w:r>
              <w:rPr>
                <w:rFonts w:hint="eastAsia" w:ascii="Times New Roman" w:hAnsi="Times New Roman" w:eastAsia="宋体" w:cs="宋体"/>
                <w:b w:val="0"/>
                <w:bCs w:val="0"/>
                <w:sz w:val="21"/>
                <w:szCs w:val="21"/>
                <w:highlight w:val="none"/>
              </w:rPr>
              <w:t>0.40</w:t>
            </w:r>
          </w:p>
        </w:tc>
        <w:tc>
          <w:tcPr>
            <w:tcW w:w="1869" w:type="pct"/>
            <w:tcBorders>
              <w:top w:val="single" w:color="auto" w:sz="4" w:space="0"/>
              <w:left w:val="nil"/>
              <w:bottom w:val="single" w:color="auto" w:sz="4" w:space="0"/>
              <w:right w:val="single" w:color="auto" w:sz="4" w:space="0"/>
            </w:tcBorders>
            <w:vAlign w:val="center"/>
          </w:tcPr>
          <w:p w14:paraId="3AB96B74">
            <w:pPr>
              <w:ind w:left="0" w:leftChars="0" w:firstLine="0" w:firstLineChars="0"/>
              <w:jc w:val="center"/>
              <w:rPr>
                <w:rFonts w:hint="eastAsia" w:ascii="Times New Roman" w:hAnsi="Times New Roman" w:eastAsia="宋体" w:cs="宋体"/>
                <w:b w:val="0"/>
                <w:bCs w:val="0"/>
                <w:sz w:val="21"/>
                <w:szCs w:val="21"/>
                <w:highlight w:val="none"/>
              </w:rPr>
            </w:pPr>
            <w:r>
              <w:rPr>
                <w:rFonts w:hint="eastAsia" w:ascii="Times New Roman" w:hAnsi="Times New Roman" w:eastAsia="宋体" w:cs="宋体"/>
                <w:b w:val="0"/>
                <w:bCs w:val="0"/>
                <w:sz w:val="21"/>
                <w:szCs w:val="21"/>
                <w:highlight w:val="none"/>
              </w:rPr>
              <w:t>25</w:t>
            </w:r>
          </w:p>
        </w:tc>
        <w:tc>
          <w:tcPr>
            <w:tcW w:w="2278" w:type="pct"/>
            <w:tcBorders>
              <w:top w:val="single" w:color="auto" w:sz="4" w:space="0"/>
              <w:left w:val="nil"/>
              <w:bottom w:val="single" w:color="auto" w:sz="4" w:space="0"/>
              <w:right w:val="single" w:color="auto" w:sz="4" w:space="0"/>
            </w:tcBorders>
            <w:vAlign w:val="center"/>
          </w:tcPr>
          <w:p w14:paraId="6CC78B94">
            <w:pPr>
              <w:ind w:left="0" w:leftChars="0" w:firstLine="0" w:firstLineChars="0"/>
              <w:jc w:val="center"/>
              <w:rPr>
                <w:rFonts w:hint="eastAsia" w:ascii="Times New Roman" w:hAnsi="Times New Roman" w:eastAsia="宋体" w:cs="宋体"/>
                <w:b w:val="0"/>
                <w:bCs w:val="0"/>
                <w:sz w:val="21"/>
                <w:szCs w:val="21"/>
                <w:highlight w:val="none"/>
              </w:rPr>
            </w:pPr>
            <w:r>
              <w:rPr>
                <w:rFonts w:hint="eastAsia" w:ascii="Times New Roman" w:hAnsi="Times New Roman" w:eastAsia="宋体" w:cs="宋体"/>
                <w:b w:val="0"/>
                <w:bCs w:val="0"/>
                <w:sz w:val="21"/>
                <w:szCs w:val="21"/>
                <w:highlight w:val="none"/>
              </w:rPr>
              <w:t>15</w:t>
            </w:r>
          </w:p>
        </w:tc>
      </w:tr>
    </w:tbl>
    <w:p w14:paraId="19E2EDA1">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before="157" w:beforeLines="50"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bookmarkStart w:id="41" w:name="_Toc15053056"/>
      <w:bookmarkStart w:id="42" w:name="_Toc514685642"/>
      <w:bookmarkStart w:id="43" w:name="_Toc23260843"/>
      <w:r>
        <w:rPr>
          <w:rFonts w:hint="default" w:ascii="Times New Roman" w:hAnsi="Times New Roman" w:cs="Times New Roman" w:eastAsiaTheme="minorEastAsia"/>
          <w:b w:val="0"/>
          <w:bCs w:val="0"/>
          <w:sz w:val="24"/>
          <w:szCs w:val="24"/>
          <w:highlight w:val="none"/>
        </w:rPr>
        <w:t>Ⅱ</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级花岗岩石粉宜用于强度等级为C30及以下的混凝土，掺量应通过试验确定。采用硅酸盐水泥或普通硅酸盐水泥时，混凝土中Ⅱ</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级花岗岩石粉最大掺量宜符合表</w:t>
      </w:r>
      <w:r>
        <w:rPr>
          <w:rFonts w:hint="eastAsia" w:ascii="Times New Roman" w:hAnsi="Times New Roman" w:cs="Times New Roman" w:eastAsiaTheme="minorEastAsia"/>
          <w:b w:val="0"/>
          <w:bCs w:val="0"/>
          <w:sz w:val="24"/>
          <w:szCs w:val="24"/>
          <w:highlight w:val="none"/>
          <w:lang w:val="en-US" w:eastAsia="zh-CN"/>
        </w:rPr>
        <w:t>5</w:t>
      </w:r>
      <w:r>
        <w:rPr>
          <w:rFonts w:hint="default" w:ascii="Times New Roman" w:hAnsi="Times New Roman" w:cs="Times New Roman" w:eastAsiaTheme="minorEastAsia"/>
          <w:b w:val="0"/>
          <w:bCs w:val="0"/>
          <w:sz w:val="24"/>
          <w:szCs w:val="24"/>
          <w:highlight w:val="none"/>
        </w:rPr>
        <w:t>.0.3的规定。</w:t>
      </w:r>
      <w:bookmarkEnd w:id="41"/>
      <w:bookmarkEnd w:id="42"/>
      <w:bookmarkEnd w:id="43"/>
    </w:p>
    <w:p w14:paraId="39E93F40">
      <w:pPr>
        <w:keepNext w:val="0"/>
        <w:keepLines w:val="0"/>
        <w:pageBreakBefore w:val="0"/>
        <w:widowControl/>
        <w:kinsoku/>
        <w:wordWrap/>
        <w:overflowPunct/>
        <w:topLinePunct w:val="0"/>
        <w:autoSpaceDE w:val="0"/>
        <w:autoSpaceDN w:val="0"/>
        <w:bidi w:val="0"/>
        <w:adjustRightInd/>
        <w:snapToGrid/>
        <w:spacing w:before="157" w:beforeLines="50"/>
        <w:jc w:val="center"/>
        <w:textAlignment w:val="auto"/>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表</w:t>
      </w:r>
      <w:r>
        <w:rPr>
          <w:rFonts w:hint="default"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5</w:t>
      </w: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.0.3　混凝土中Ⅱ级花岗岩石粉最大掺量（%）</w:t>
      </w:r>
    </w:p>
    <w:tbl>
      <w:tblPr>
        <w:tblStyle w:val="22"/>
        <w:tblW w:w="5000" w:type="pct"/>
        <w:tblInd w:w="0" w:type="dxa"/>
        <w:tblLayout w:type="autofit"/>
        <w:tblCellMar>
          <w:top w:w="0" w:type="dxa"/>
          <w:left w:w="108" w:type="dxa"/>
          <w:bottom w:w="0" w:type="dxa"/>
          <w:right w:w="108" w:type="dxa"/>
        </w:tblCellMar>
      </w:tblPr>
      <w:tblGrid>
        <w:gridCol w:w="4410"/>
        <w:gridCol w:w="5160"/>
      </w:tblGrid>
      <w:tr w14:paraId="72773C9E">
        <w:tblPrEx>
          <w:tblCellMar>
            <w:top w:w="0" w:type="dxa"/>
            <w:left w:w="108" w:type="dxa"/>
            <w:bottom w:w="0" w:type="dxa"/>
            <w:right w:w="108" w:type="dxa"/>
          </w:tblCellMar>
        </w:tblPrEx>
        <w:trPr>
          <w:trHeight w:val="397" w:hRule="atLeast"/>
        </w:trPr>
        <w:tc>
          <w:tcPr>
            <w:tcW w:w="5000" w:type="pct"/>
            <w:gridSpan w:val="2"/>
            <w:tcBorders>
              <w:top w:val="single" w:color="auto" w:sz="4" w:space="0"/>
              <w:left w:val="single" w:color="auto" w:sz="4" w:space="0"/>
              <w:bottom w:val="single" w:color="auto" w:sz="4" w:space="0"/>
              <w:right w:val="single" w:color="auto" w:sz="4" w:space="0"/>
            </w:tcBorders>
            <w:vAlign w:val="center"/>
          </w:tcPr>
          <w:p w14:paraId="0A42C102">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最大掺量</w:t>
            </w:r>
          </w:p>
        </w:tc>
      </w:tr>
      <w:tr w14:paraId="7B84D8E1">
        <w:tblPrEx>
          <w:tblCellMar>
            <w:top w:w="0" w:type="dxa"/>
            <w:left w:w="108" w:type="dxa"/>
            <w:bottom w:w="0" w:type="dxa"/>
            <w:right w:w="108" w:type="dxa"/>
          </w:tblCellMar>
        </w:tblPrEx>
        <w:trPr>
          <w:trHeight w:val="397" w:hRule="atLeast"/>
        </w:trPr>
        <w:tc>
          <w:tcPr>
            <w:tcW w:w="2304" w:type="pct"/>
            <w:tcBorders>
              <w:top w:val="single" w:color="auto" w:sz="4" w:space="0"/>
              <w:left w:val="single" w:color="auto" w:sz="4" w:space="0"/>
              <w:bottom w:val="single" w:color="auto" w:sz="4" w:space="0"/>
              <w:right w:val="single" w:color="auto" w:sz="4" w:space="0"/>
            </w:tcBorders>
            <w:vAlign w:val="center"/>
          </w:tcPr>
          <w:p w14:paraId="17D3FF9F">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采用硅酸盐水泥时</w:t>
            </w:r>
          </w:p>
        </w:tc>
        <w:tc>
          <w:tcPr>
            <w:tcW w:w="2696" w:type="pct"/>
            <w:tcBorders>
              <w:top w:val="single" w:color="auto" w:sz="4" w:space="0"/>
              <w:left w:val="nil"/>
              <w:bottom w:val="single" w:color="auto" w:sz="4" w:space="0"/>
              <w:right w:val="single" w:color="auto" w:sz="4" w:space="0"/>
            </w:tcBorders>
            <w:vAlign w:val="center"/>
          </w:tcPr>
          <w:p w14:paraId="4C818849">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采用普通硅酸盐水泥时</w:t>
            </w:r>
          </w:p>
        </w:tc>
      </w:tr>
      <w:tr w14:paraId="5137327E">
        <w:tblPrEx>
          <w:tblCellMar>
            <w:top w:w="0" w:type="dxa"/>
            <w:left w:w="108" w:type="dxa"/>
            <w:bottom w:w="0" w:type="dxa"/>
            <w:right w:w="108" w:type="dxa"/>
          </w:tblCellMar>
        </w:tblPrEx>
        <w:trPr>
          <w:trHeight w:val="397" w:hRule="atLeast"/>
        </w:trPr>
        <w:tc>
          <w:tcPr>
            <w:tcW w:w="2304" w:type="pct"/>
            <w:tcBorders>
              <w:top w:val="single" w:color="auto" w:sz="4" w:space="0"/>
              <w:left w:val="single" w:color="auto" w:sz="4" w:space="0"/>
              <w:bottom w:val="single" w:color="auto" w:sz="4" w:space="0"/>
              <w:right w:val="single" w:color="auto" w:sz="4" w:space="0"/>
            </w:tcBorders>
            <w:vAlign w:val="center"/>
          </w:tcPr>
          <w:p w14:paraId="3F11CA7A">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25</w:t>
            </w:r>
          </w:p>
        </w:tc>
        <w:tc>
          <w:tcPr>
            <w:tcW w:w="2696" w:type="pct"/>
            <w:tcBorders>
              <w:top w:val="single" w:color="auto" w:sz="4" w:space="0"/>
              <w:left w:val="nil"/>
              <w:bottom w:val="single" w:color="auto" w:sz="4" w:space="0"/>
              <w:right w:val="single" w:color="auto" w:sz="4" w:space="0"/>
            </w:tcBorders>
            <w:vAlign w:val="center"/>
          </w:tcPr>
          <w:p w14:paraId="0FBC65C0">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15</w:t>
            </w:r>
          </w:p>
        </w:tc>
      </w:tr>
    </w:tbl>
    <w:p w14:paraId="123C25CE">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eastAsia" w:ascii="Times New Roman" w:hAnsi="Times New Roman" w:cs="Times New Roman"/>
          <w:b w:val="0"/>
          <w:bCs w:val="0"/>
          <w:sz w:val="24"/>
          <w:szCs w:val="24"/>
          <w:highlight w:val="none"/>
          <w:lang w:val="en-US" w:eastAsia="zh-CN"/>
        </w:rPr>
        <w:t>花岗岩石粉</w:t>
      </w:r>
      <w:r>
        <w:rPr>
          <w:rFonts w:hint="default" w:ascii="Times New Roman" w:hAnsi="Times New Roman" w:cs="Times New Roman" w:eastAsiaTheme="minorEastAsia"/>
          <w:b w:val="0"/>
          <w:bCs w:val="0"/>
          <w:sz w:val="24"/>
          <w:szCs w:val="24"/>
          <w:highlight w:val="none"/>
          <w:lang w:val="en-US" w:eastAsia="zh-CN"/>
        </w:rPr>
        <w:t>宜与其他矿物掺合料复掺使用，</w:t>
      </w:r>
      <w:r>
        <w:rPr>
          <w:rFonts w:hint="default" w:ascii="Times New Roman" w:hAnsi="Times New Roman" w:cs="Times New Roman" w:eastAsiaTheme="minorEastAsia"/>
          <w:b w:val="0"/>
          <w:bCs w:val="0"/>
          <w:sz w:val="24"/>
          <w:szCs w:val="24"/>
          <w:highlight w:val="none"/>
        </w:rPr>
        <w:t>复合掺合料中</w:t>
      </w:r>
      <w:r>
        <w:rPr>
          <w:rFonts w:hint="eastAsia" w:ascii="Times New Roman" w:hAnsi="Times New Roman" w:cs="Times New Roman"/>
          <w:b w:val="0"/>
          <w:bCs w:val="0"/>
          <w:sz w:val="24"/>
          <w:szCs w:val="24"/>
          <w:highlight w:val="none"/>
          <w:lang w:val="en-US" w:eastAsia="zh-CN"/>
        </w:rPr>
        <w:t>花岗岩石粉</w:t>
      </w:r>
      <w:r>
        <w:rPr>
          <w:rFonts w:hint="default" w:ascii="Times New Roman" w:hAnsi="Times New Roman" w:cs="Times New Roman" w:eastAsiaTheme="minorEastAsia"/>
          <w:b w:val="0"/>
          <w:bCs w:val="0"/>
          <w:sz w:val="24"/>
          <w:szCs w:val="24"/>
          <w:highlight w:val="none"/>
        </w:rPr>
        <w:t>组分的掺量不应超过在混凝土中单掺时的最大掺量。</w:t>
      </w:r>
    </w:p>
    <w:p w14:paraId="329139C6">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配合比计算时，胶凝材料28d</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胶砂抗压强度宜根据试验确定。当胶凝材料28d</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胶砂抗压强度无实测值，且石粉掺量不超过30%时，胶凝材料28d</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胶砂抗压强度值可按式</w:t>
      </w:r>
      <w:r>
        <w:rPr>
          <w:rFonts w:hint="eastAsia" w:ascii="Times New Roman" w:hAnsi="Times New Roman" w:cs="Times New Roman"/>
          <w:b w:val="0"/>
          <w:bCs w:val="0"/>
          <w:sz w:val="24"/>
          <w:szCs w:val="24"/>
          <w:highlight w:val="none"/>
          <w:lang w:eastAsia="zh-CN"/>
        </w:rPr>
        <w:t>（</w:t>
      </w:r>
      <w:r>
        <w:rPr>
          <w:rFonts w:hint="eastAsia" w:ascii="Times New Roman" w:hAnsi="Times New Roman" w:cs="Times New Roman"/>
          <w:b w:val="0"/>
          <w:bCs w:val="0"/>
          <w:sz w:val="24"/>
          <w:szCs w:val="24"/>
          <w:highlight w:val="none"/>
          <w:lang w:val="en-US" w:eastAsia="zh-CN"/>
        </w:rPr>
        <w:t>5.0.5</w:t>
      </w:r>
      <w:r>
        <w:rPr>
          <w:rFonts w:hint="eastAsia" w:ascii="Times New Roman" w:hAnsi="Times New Roman" w:cs="Times New Roman"/>
          <w:b w:val="0"/>
          <w:bCs w:val="0"/>
          <w:sz w:val="24"/>
          <w:szCs w:val="24"/>
          <w:highlight w:val="none"/>
          <w:lang w:eastAsia="zh-CN"/>
        </w:rPr>
        <w:t>）</w:t>
      </w:r>
      <w:r>
        <w:rPr>
          <w:rFonts w:hint="default" w:ascii="Times New Roman" w:hAnsi="Times New Roman" w:cs="Times New Roman" w:eastAsiaTheme="minorEastAsia"/>
          <w:b w:val="0"/>
          <w:bCs w:val="0"/>
          <w:sz w:val="24"/>
          <w:szCs w:val="24"/>
          <w:highlight w:val="none"/>
        </w:rPr>
        <w:t>计算：</w:t>
      </w:r>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2"/>
        <w:gridCol w:w="2843"/>
        <w:gridCol w:w="2843"/>
      </w:tblGrid>
      <w:tr w14:paraId="533F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42" w:type="dxa"/>
            <w:vAlign w:val="center"/>
          </w:tcPr>
          <w:p w14:paraId="45EABFC2">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Chars="0"/>
              <w:textAlignment w:val="auto"/>
              <w:rPr>
                <w:rFonts w:hint="default" w:ascii="Times New Roman" w:hAnsi="Times New Roman" w:cs="Times New Roman" w:eastAsiaTheme="minorEastAsia"/>
                <w:b w:val="0"/>
                <w:bCs w:val="0"/>
                <w:i/>
                <w:iCs/>
                <w:sz w:val="24"/>
                <w:szCs w:val="24"/>
                <w:highlight w:val="none"/>
              </w:rPr>
            </w:pPr>
          </w:p>
        </w:tc>
        <w:tc>
          <w:tcPr>
            <w:tcW w:w="2843" w:type="dxa"/>
            <w:vAlign w:val="center"/>
          </w:tcPr>
          <w:p w14:paraId="2996CE9F">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Chars="0"/>
              <w:textAlignment w:val="auto"/>
              <w:rPr>
                <w:rFonts w:hint="default" w:ascii="Times New Roman" w:hAnsi="Times New Roman" w:cs="Times New Roman" w:eastAsiaTheme="minorEastAsia"/>
                <w:b w:val="0"/>
                <w:bCs w:val="0"/>
                <w:i/>
                <w:iCs/>
                <w:sz w:val="24"/>
                <w:szCs w:val="24"/>
                <w:highlight w:val="none"/>
              </w:rPr>
            </w:pPr>
            <w:r>
              <w:rPr>
                <w:rFonts w:hint="default" w:ascii="Times New Roman" w:hAnsi="Times New Roman" w:cs="Times New Roman" w:eastAsiaTheme="minorEastAsia"/>
                <w:b w:val="0"/>
                <w:bCs w:val="0"/>
                <w:i/>
                <w:iCs/>
                <w:sz w:val="24"/>
                <w:szCs w:val="24"/>
                <w:highlight w:val="none"/>
              </w:rPr>
              <w:t>f</w:t>
            </w:r>
            <w:r>
              <w:rPr>
                <w:rFonts w:hint="default" w:ascii="Times New Roman" w:hAnsi="Times New Roman" w:cs="Times New Roman" w:eastAsiaTheme="minorEastAsia"/>
                <w:b w:val="0"/>
                <w:bCs w:val="0"/>
                <w:i w:val="0"/>
                <w:iCs w:val="0"/>
                <w:sz w:val="24"/>
                <w:szCs w:val="24"/>
                <w:highlight w:val="none"/>
                <w:vertAlign w:val="subscript"/>
              </w:rPr>
              <w:t>b</w:t>
            </w:r>
            <w:r>
              <w:rPr>
                <w:rFonts w:hint="default" w:ascii="Times New Roman" w:hAnsi="Times New Roman" w:cs="Times New Roman" w:eastAsiaTheme="minorEastAsia"/>
                <w:b w:val="0"/>
                <w:bCs w:val="0"/>
                <w:i/>
                <w:iCs/>
                <w:sz w:val="24"/>
                <w:szCs w:val="24"/>
                <w:highlight w:val="none"/>
              </w:rPr>
              <w:t>=γ</w:t>
            </w:r>
            <w:r>
              <w:rPr>
                <w:rFonts w:hint="default" w:ascii="Times New Roman" w:hAnsi="Times New Roman" w:cs="Times New Roman" w:eastAsiaTheme="minorEastAsia"/>
                <w:b w:val="0"/>
                <w:bCs w:val="0"/>
                <w:i w:val="0"/>
                <w:iCs w:val="0"/>
                <w:sz w:val="24"/>
                <w:szCs w:val="24"/>
                <w:highlight w:val="none"/>
                <w:vertAlign w:val="subscript"/>
              </w:rPr>
              <w:t>H</w:t>
            </w:r>
            <w:r>
              <w:rPr>
                <w:rFonts w:hint="default" w:ascii="Times New Roman" w:hAnsi="Times New Roman" w:cs="Times New Roman" w:eastAsiaTheme="minorEastAsia"/>
                <w:b w:val="0"/>
                <w:bCs w:val="0"/>
                <w:i/>
                <w:iCs/>
                <w:sz w:val="24"/>
                <w:szCs w:val="24"/>
                <w:highlight w:val="none"/>
              </w:rPr>
              <w:t xml:space="preserve"> f</w:t>
            </w:r>
            <w:r>
              <w:rPr>
                <w:rFonts w:hint="default" w:ascii="Times New Roman" w:hAnsi="Times New Roman" w:cs="Times New Roman" w:eastAsiaTheme="minorEastAsia"/>
                <w:b w:val="0"/>
                <w:bCs w:val="0"/>
                <w:i w:val="0"/>
                <w:iCs w:val="0"/>
                <w:sz w:val="24"/>
                <w:szCs w:val="24"/>
                <w:highlight w:val="none"/>
                <w:vertAlign w:val="subscript"/>
              </w:rPr>
              <w:t>ce</w:t>
            </w:r>
          </w:p>
        </w:tc>
        <w:tc>
          <w:tcPr>
            <w:tcW w:w="2843" w:type="dxa"/>
            <w:vAlign w:val="center"/>
          </w:tcPr>
          <w:p w14:paraId="4718F4BF">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firstLine="1440" w:firstLineChars="60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（5.0.</w:t>
            </w:r>
            <w:r>
              <w:rPr>
                <w:rFonts w:hint="eastAsia" w:ascii="Times New Roman" w:hAnsi="Times New Roman" w:cs="Times New Roman"/>
                <w:b w:val="0"/>
                <w:bCs w:val="0"/>
                <w:sz w:val="24"/>
                <w:szCs w:val="24"/>
                <w:highlight w:val="none"/>
                <w:lang w:val="en-US" w:eastAsia="zh-CN"/>
              </w:rPr>
              <w:t>5</w:t>
            </w:r>
            <w:r>
              <w:rPr>
                <w:rFonts w:hint="default" w:ascii="Times New Roman" w:hAnsi="Times New Roman" w:cs="Times New Roman" w:eastAsiaTheme="minorEastAsia"/>
                <w:b w:val="0"/>
                <w:bCs w:val="0"/>
                <w:sz w:val="24"/>
                <w:szCs w:val="24"/>
                <w:highlight w:val="none"/>
              </w:rPr>
              <w:t>）</w:t>
            </w:r>
          </w:p>
        </w:tc>
      </w:tr>
    </w:tbl>
    <w:p w14:paraId="0E26DE56">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式中：</w:t>
      </w:r>
      <w:r>
        <w:rPr>
          <w:rFonts w:hint="default" w:ascii="Times New Roman" w:hAnsi="Times New Roman" w:cs="Times New Roman" w:eastAsiaTheme="minorEastAsia"/>
          <w:b w:val="0"/>
          <w:bCs w:val="0"/>
          <w:i/>
          <w:iCs/>
          <w:sz w:val="24"/>
          <w:szCs w:val="24"/>
          <w:highlight w:val="none"/>
        </w:rPr>
        <w:t>f</w:t>
      </w:r>
      <w:r>
        <w:rPr>
          <w:rFonts w:hint="default" w:ascii="Times New Roman" w:hAnsi="Times New Roman" w:cs="Times New Roman" w:eastAsiaTheme="minorEastAsia"/>
          <w:b w:val="0"/>
          <w:bCs w:val="0"/>
          <w:i w:val="0"/>
          <w:iCs w:val="0"/>
          <w:sz w:val="24"/>
          <w:szCs w:val="24"/>
          <w:highlight w:val="none"/>
          <w:vertAlign w:val="subscript"/>
        </w:rPr>
        <w:t>b</w:t>
      </w:r>
      <w:r>
        <w:rPr>
          <w:rFonts w:hint="default" w:ascii="Times New Roman" w:hAnsi="Times New Roman" w:cs="Times New Roman" w:eastAsiaTheme="minorEastAsia"/>
          <w:b w:val="0"/>
          <w:bCs w:val="0"/>
          <w:sz w:val="24"/>
          <w:szCs w:val="24"/>
          <w:highlight w:val="none"/>
        </w:rPr>
        <w:t xml:space="preserve"> ——胶凝材料28d</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胶砂抗压强度（MPa）；</w:t>
      </w:r>
    </w:p>
    <w:p w14:paraId="6B5AA171">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Chars="0" w:firstLine="720" w:firstLineChars="30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i/>
          <w:iCs/>
          <w:sz w:val="24"/>
          <w:szCs w:val="24"/>
          <w:highlight w:val="none"/>
        </w:rPr>
        <w:t>γ</w:t>
      </w:r>
      <w:r>
        <w:rPr>
          <w:rFonts w:hint="default" w:ascii="Times New Roman" w:hAnsi="Times New Roman" w:cs="Times New Roman" w:eastAsiaTheme="minorEastAsia"/>
          <w:b w:val="0"/>
          <w:bCs w:val="0"/>
          <w:i w:val="0"/>
          <w:iCs w:val="0"/>
          <w:sz w:val="24"/>
          <w:szCs w:val="24"/>
          <w:highlight w:val="none"/>
          <w:vertAlign w:val="subscript"/>
        </w:rPr>
        <w:t>H</w:t>
      </w:r>
      <w:r>
        <w:rPr>
          <w:rFonts w:hint="default" w:ascii="Times New Roman" w:hAnsi="Times New Roman" w:cs="Times New Roman" w:eastAsiaTheme="minorEastAsia"/>
          <w:b w:val="0"/>
          <w:bCs w:val="0"/>
          <w:sz w:val="24"/>
          <w:szCs w:val="24"/>
          <w:highlight w:val="none"/>
        </w:rPr>
        <w:t>——花岗岩石粉影响系数，可按表5.0.</w:t>
      </w:r>
      <w:r>
        <w:rPr>
          <w:rFonts w:hint="eastAsia" w:ascii="Times New Roman" w:hAnsi="Times New Roman" w:cs="Times New Roman"/>
          <w:b w:val="0"/>
          <w:bCs w:val="0"/>
          <w:sz w:val="24"/>
          <w:szCs w:val="24"/>
          <w:highlight w:val="none"/>
          <w:lang w:val="en-US" w:eastAsia="zh-CN"/>
        </w:rPr>
        <w:t>5</w:t>
      </w:r>
      <w:r>
        <w:rPr>
          <w:rFonts w:hint="default" w:ascii="Times New Roman" w:hAnsi="Times New Roman" w:cs="Times New Roman" w:eastAsiaTheme="minorEastAsia"/>
          <w:b w:val="0"/>
          <w:bCs w:val="0"/>
          <w:sz w:val="24"/>
          <w:szCs w:val="24"/>
          <w:highlight w:val="none"/>
        </w:rPr>
        <w:t>取值；</w:t>
      </w:r>
    </w:p>
    <w:p w14:paraId="27ABFB35">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Chars="0" w:firstLine="720" w:firstLineChars="30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i/>
          <w:iCs/>
          <w:sz w:val="24"/>
          <w:szCs w:val="24"/>
          <w:highlight w:val="none"/>
        </w:rPr>
        <w:t>f</w:t>
      </w:r>
      <w:r>
        <w:rPr>
          <w:rFonts w:hint="default" w:ascii="Times New Roman" w:hAnsi="Times New Roman" w:cs="Times New Roman" w:eastAsiaTheme="minorEastAsia"/>
          <w:b w:val="0"/>
          <w:bCs w:val="0"/>
          <w:i w:val="0"/>
          <w:iCs w:val="0"/>
          <w:sz w:val="24"/>
          <w:szCs w:val="24"/>
          <w:highlight w:val="none"/>
          <w:vertAlign w:val="subscript"/>
        </w:rPr>
        <w:t>ce</w:t>
      </w:r>
      <w:r>
        <w:rPr>
          <w:rFonts w:hint="default" w:ascii="Times New Roman" w:hAnsi="Times New Roman" w:cs="Times New Roman" w:eastAsiaTheme="minorEastAsia"/>
          <w:b w:val="0"/>
          <w:bCs w:val="0"/>
          <w:sz w:val="24"/>
          <w:szCs w:val="24"/>
          <w:highlight w:val="none"/>
        </w:rPr>
        <w:t>——水泥28d</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eastAsiaTheme="minorEastAsia"/>
          <w:b w:val="0"/>
          <w:bCs w:val="0"/>
          <w:sz w:val="24"/>
          <w:szCs w:val="24"/>
          <w:highlight w:val="none"/>
        </w:rPr>
        <w:t>胶砂抗压强度（MPa）。</w:t>
      </w:r>
    </w:p>
    <w:p w14:paraId="4F8D158C">
      <w:pPr>
        <w:keepNext w:val="0"/>
        <w:keepLines w:val="0"/>
        <w:pageBreakBefore w:val="0"/>
        <w:widowControl/>
        <w:kinsoku/>
        <w:wordWrap/>
        <w:overflowPunct/>
        <w:topLinePunct w:val="0"/>
        <w:autoSpaceDE w:val="0"/>
        <w:autoSpaceDN w:val="0"/>
        <w:bidi w:val="0"/>
        <w:adjustRightInd/>
        <w:snapToGrid/>
        <w:spacing w:before="157" w:beforeLines="50"/>
        <w:jc w:val="center"/>
        <w:textAlignment w:val="auto"/>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pPr>
      <w:r>
        <w:rPr>
          <w:rFonts w:hint="eastAsia" w:ascii="Times New Roman" w:hAnsi="Times New Roman" w:eastAsia="黑体" w:cs="Times New Roman"/>
          <w:b w:val="0"/>
          <w:bCs w:val="0"/>
          <w:color w:val="000000" w:themeColor="text1"/>
          <w:sz w:val="21"/>
          <w:szCs w:val="21"/>
          <w:highlight w:val="none"/>
          <w14:textFill>
            <w14:solidFill>
              <w14:schemeClr w14:val="tx1"/>
            </w14:solidFill>
          </w14:textFill>
        </w:rPr>
        <w:t>表</w:t>
      </w:r>
      <w:r>
        <w:rPr>
          <w:rFonts w:hint="eastAsia"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5</w:t>
      </w:r>
      <w:r>
        <w:rPr>
          <w:rFonts w:hint="default"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.0.5</w:t>
      </w: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　</w:t>
      </w:r>
      <w:r>
        <w:rPr>
          <w:rFonts w:hint="eastAsia" w:ascii="Times New Roman" w:hAnsi="Times New Roman" w:eastAsia="黑体" w:cs="Times New Roman"/>
          <w:b w:val="0"/>
          <w:bCs w:val="0"/>
          <w:color w:val="000000" w:themeColor="text1"/>
          <w:sz w:val="21"/>
          <w:szCs w:val="21"/>
          <w:highlight w:val="none"/>
          <w14:textFill>
            <w14:solidFill>
              <w14:schemeClr w14:val="tx1"/>
            </w14:solidFill>
          </w14:textFill>
        </w:rPr>
        <w:t>花岗岩石粉影响系数</w:t>
      </w:r>
    </w:p>
    <w:tbl>
      <w:tblPr>
        <w:tblStyle w:val="22"/>
        <w:tblW w:w="4921" w:type="pct"/>
        <w:jc w:val="center"/>
        <w:tblLayout w:type="autofit"/>
        <w:tblCellMar>
          <w:top w:w="0" w:type="dxa"/>
          <w:left w:w="108" w:type="dxa"/>
          <w:bottom w:w="0" w:type="dxa"/>
          <w:right w:w="108" w:type="dxa"/>
        </w:tblCellMar>
      </w:tblPr>
      <w:tblGrid>
        <w:gridCol w:w="4388"/>
        <w:gridCol w:w="5031"/>
      </w:tblGrid>
      <w:tr w14:paraId="430498BC">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3CDCF072">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掺量（%）</w:t>
            </w:r>
          </w:p>
        </w:tc>
        <w:tc>
          <w:tcPr>
            <w:tcW w:w="2670" w:type="pct"/>
            <w:tcBorders>
              <w:top w:val="single" w:color="auto" w:sz="4" w:space="0"/>
              <w:left w:val="nil"/>
              <w:bottom w:val="single" w:color="auto" w:sz="4" w:space="0"/>
              <w:right w:val="single" w:color="auto" w:sz="4" w:space="0"/>
            </w:tcBorders>
            <w:vAlign w:val="center"/>
          </w:tcPr>
          <w:p w14:paraId="365C9BEB">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花岗岩石粉</w:t>
            </w:r>
          </w:p>
        </w:tc>
      </w:tr>
      <w:tr w14:paraId="491DEE43">
        <w:tblPrEx>
          <w:tblCellMar>
            <w:top w:w="0" w:type="dxa"/>
            <w:left w:w="108" w:type="dxa"/>
            <w:bottom w:w="0" w:type="dxa"/>
            <w:right w:w="108" w:type="dxa"/>
          </w:tblCellMar>
        </w:tblPrEx>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3D9DD608">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0</w:t>
            </w:r>
          </w:p>
        </w:tc>
        <w:tc>
          <w:tcPr>
            <w:tcW w:w="2670" w:type="pct"/>
            <w:tcBorders>
              <w:top w:val="single" w:color="auto" w:sz="4" w:space="0"/>
              <w:left w:val="nil"/>
              <w:bottom w:val="single" w:color="auto" w:sz="4" w:space="0"/>
              <w:right w:val="single" w:color="auto" w:sz="4" w:space="0"/>
            </w:tcBorders>
            <w:vAlign w:val="center"/>
          </w:tcPr>
          <w:p w14:paraId="65E91E9D">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1.00</w:t>
            </w:r>
          </w:p>
        </w:tc>
      </w:tr>
      <w:tr w14:paraId="7119298C">
        <w:tblPrEx>
          <w:tblCellMar>
            <w:top w:w="0" w:type="dxa"/>
            <w:left w:w="108" w:type="dxa"/>
            <w:bottom w:w="0" w:type="dxa"/>
            <w:right w:w="108" w:type="dxa"/>
          </w:tblCellMar>
        </w:tblPrEx>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55C00E0E">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10</w:t>
            </w:r>
          </w:p>
        </w:tc>
        <w:tc>
          <w:tcPr>
            <w:tcW w:w="2670" w:type="pct"/>
            <w:tcBorders>
              <w:top w:val="single" w:color="auto" w:sz="4" w:space="0"/>
              <w:left w:val="nil"/>
              <w:bottom w:val="single" w:color="auto" w:sz="4" w:space="0"/>
              <w:right w:val="single" w:color="auto" w:sz="4" w:space="0"/>
            </w:tcBorders>
            <w:vAlign w:val="center"/>
          </w:tcPr>
          <w:p w14:paraId="0ED344E9">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0.85~0.90</w:t>
            </w:r>
          </w:p>
        </w:tc>
      </w:tr>
      <w:tr w14:paraId="6333F807">
        <w:tblPrEx>
          <w:tblCellMar>
            <w:top w:w="0" w:type="dxa"/>
            <w:left w:w="108" w:type="dxa"/>
            <w:bottom w:w="0" w:type="dxa"/>
            <w:right w:w="108" w:type="dxa"/>
          </w:tblCellMar>
        </w:tblPrEx>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6E7BF38C">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15</w:t>
            </w:r>
          </w:p>
        </w:tc>
        <w:tc>
          <w:tcPr>
            <w:tcW w:w="2670" w:type="pct"/>
            <w:tcBorders>
              <w:top w:val="single" w:color="auto" w:sz="4" w:space="0"/>
              <w:left w:val="nil"/>
              <w:bottom w:val="single" w:color="auto" w:sz="4" w:space="0"/>
              <w:right w:val="single" w:color="auto" w:sz="4" w:space="0"/>
            </w:tcBorders>
            <w:vAlign w:val="center"/>
          </w:tcPr>
          <w:p w14:paraId="423E2307">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0.80~0.85</w:t>
            </w:r>
          </w:p>
        </w:tc>
      </w:tr>
      <w:tr w14:paraId="6A3D86CF">
        <w:tblPrEx>
          <w:tblCellMar>
            <w:top w:w="0" w:type="dxa"/>
            <w:left w:w="108" w:type="dxa"/>
            <w:bottom w:w="0" w:type="dxa"/>
            <w:right w:w="108" w:type="dxa"/>
          </w:tblCellMar>
        </w:tblPrEx>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0C80A9EE">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20</w:t>
            </w:r>
          </w:p>
        </w:tc>
        <w:tc>
          <w:tcPr>
            <w:tcW w:w="2670" w:type="pct"/>
            <w:tcBorders>
              <w:top w:val="single" w:color="auto" w:sz="4" w:space="0"/>
              <w:left w:val="nil"/>
              <w:bottom w:val="single" w:color="auto" w:sz="4" w:space="0"/>
              <w:right w:val="single" w:color="auto" w:sz="4" w:space="0"/>
            </w:tcBorders>
            <w:vAlign w:val="center"/>
          </w:tcPr>
          <w:p w14:paraId="50CD0A80">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0.75~0.80</w:t>
            </w:r>
          </w:p>
        </w:tc>
      </w:tr>
      <w:tr w14:paraId="6050E77D">
        <w:tblPrEx>
          <w:tblCellMar>
            <w:top w:w="0" w:type="dxa"/>
            <w:left w:w="108" w:type="dxa"/>
            <w:bottom w:w="0" w:type="dxa"/>
            <w:right w:w="108" w:type="dxa"/>
          </w:tblCellMar>
        </w:tblPrEx>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0384948F">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25</w:t>
            </w:r>
          </w:p>
        </w:tc>
        <w:tc>
          <w:tcPr>
            <w:tcW w:w="2670" w:type="pct"/>
            <w:tcBorders>
              <w:top w:val="single" w:color="auto" w:sz="4" w:space="0"/>
              <w:left w:val="nil"/>
              <w:bottom w:val="single" w:color="auto" w:sz="4" w:space="0"/>
              <w:right w:val="single" w:color="auto" w:sz="4" w:space="0"/>
            </w:tcBorders>
            <w:vAlign w:val="center"/>
          </w:tcPr>
          <w:p w14:paraId="6BEB80AB">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0.70~0.75</w:t>
            </w:r>
          </w:p>
        </w:tc>
      </w:tr>
      <w:tr w14:paraId="6AB2BB72">
        <w:tblPrEx>
          <w:tblCellMar>
            <w:top w:w="0" w:type="dxa"/>
            <w:left w:w="108" w:type="dxa"/>
            <w:bottom w:w="0" w:type="dxa"/>
            <w:right w:w="108" w:type="dxa"/>
          </w:tblCellMar>
        </w:tblPrEx>
        <w:trPr>
          <w:trHeight w:val="397" w:hRule="atLeast"/>
          <w:jc w:val="center"/>
        </w:trPr>
        <w:tc>
          <w:tcPr>
            <w:tcW w:w="2329" w:type="pct"/>
            <w:tcBorders>
              <w:top w:val="single" w:color="auto" w:sz="4" w:space="0"/>
              <w:left w:val="single" w:color="auto" w:sz="4" w:space="0"/>
              <w:bottom w:val="single" w:color="auto" w:sz="4" w:space="0"/>
              <w:right w:val="single" w:color="auto" w:sz="4" w:space="0"/>
            </w:tcBorders>
            <w:vAlign w:val="center"/>
          </w:tcPr>
          <w:p w14:paraId="119DD9C6">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30</w:t>
            </w:r>
          </w:p>
        </w:tc>
        <w:tc>
          <w:tcPr>
            <w:tcW w:w="2670" w:type="pct"/>
            <w:tcBorders>
              <w:top w:val="single" w:color="auto" w:sz="4" w:space="0"/>
              <w:left w:val="nil"/>
              <w:bottom w:val="single" w:color="auto" w:sz="4" w:space="0"/>
              <w:right w:val="single" w:color="auto" w:sz="4" w:space="0"/>
            </w:tcBorders>
            <w:vAlign w:val="center"/>
          </w:tcPr>
          <w:p w14:paraId="1F815AD7">
            <w:pPr>
              <w:ind w:left="0" w:leftChars="0" w:firstLine="0" w:firstLineChars="0"/>
              <w:jc w:val="center"/>
              <w:rPr>
                <w:rFonts w:hint="default" w:ascii="Times New Roman" w:hAnsi="Times New Roman" w:cs="Times New Roman" w:eastAsiaTheme="minorEastAsia"/>
                <w:b w:val="0"/>
                <w:bCs w:val="0"/>
                <w:sz w:val="21"/>
                <w:szCs w:val="21"/>
                <w:highlight w:val="none"/>
              </w:rPr>
            </w:pPr>
            <w:r>
              <w:rPr>
                <w:rFonts w:hint="default" w:ascii="Times New Roman" w:hAnsi="Times New Roman" w:cs="Times New Roman" w:eastAsiaTheme="minorEastAsia"/>
                <w:b w:val="0"/>
                <w:bCs w:val="0"/>
                <w:sz w:val="21"/>
                <w:szCs w:val="21"/>
                <w:highlight w:val="none"/>
              </w:rPr>
              <w:t>0.60~0.65</w:t>
            </w:r>
          </w:p>
        </w:tc>
      </w:tr>
    </w:tbl>
    <w:p w14:paraId="3CEF3327">
      <w:pPr>
        <w:keepNext w:val="0"/>
        <w:keepLines w:val="0"/>
        <w:pageBreakBefore w:val="0"/>
        <w:widowControl/>
        <w:kinsoku/>
        <w:wordWrap/>
        <w:overflowPunct/>
        <w:topLinePunct w:val="0"/>
        <w:autoSpaceDE w:val="0"/>
        <w:autoSpaceDN w:val="0"/>
        <w:bidi w:val="0"/>
        <w:adjustRightInd/>
        <w:snapToGrid/>
        <w:spacing w:after="157" w:afterLines="50"/>
        <w:ind w:left="0" w:leftChars="0" w:firstLine="0" w:firstLineChars="0"/>
        <w:textAlignment w:val="auto"/>
        <w:rPr>
          <w:rFonts w:hint="eastAsia" w:ascii="Times New Roman" w:hAnsi="Times New Roman" w:eastAsia="宋体" w:cs="宋体"/>
          <w:b w:val="0"/>
          <w:bCs w:val="0"/>
          <w:sz w:val="21"/>
          <w:szCs w:val="21"/>
          <w:highlight w:val="none"/>
          <w:lang w:val="en-US" w:eastAsia="zh-CN"/>
        </w:rPr>
      </w:pPr>
      <w:r>
        <w:rPr>
          <w:rFonts w:hint="eastAsia" w:ascii="Times New Roman" w:hAnsi="Times New Roman" w:eastAsia="宋体" w:cs="宋体"/>
          <w:b w:val="0"/>
          <w:bCs w:val="0"/>
          <w:sz w:val="21"/>
          <w:szCs w:val="21"/>
          <w:highlight w:val="none"/>
        </w:rPr>
        <w:t>注：采用Ⅰ级花岗岩石粉宜取上限，采用Ⅱ级花岗岩石粉宜取下限</w:t>
      </w:r>
      <w:r>
        <w:rPr>
          <w:rFonts w:hint="eastAsia" w:ascii="Times New Roman" w:hAnsi="Times New Roman" w:eastAsia="宋体" w:cs="宋体"/>
          <w:b w:val="0"/>
          <w:bCs w:val="0"/>
          <w:sz w:val="21"/>
          <w:szCs w:val="21"/>
          <w:highlight w:val="none"/>
          <w:lang w:eastAsia="zh-CN"/>
        </w:rPr>
        <w:t>。</w:t>
      </w:r>
    </w:p>
    <w:p w14:paraId="43B3B95F">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对抗裂性能有明确要求的掺花岗岩石粉的混凝土，应通过混凝土抗裂试验和收缩试验优选配合比。</w:t>
      </w:r>
    </w:p>
    <w:p w14:paraId="166FEC5C">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掺花岗岩石粉的混凝土出现下列情况之一时，应重新进行配合比设计：</w:t>
      </w:r>
    </w:p>
    <w:p w14:paraId="03D08C34">
      <w:pPr>
        <w:keepNext w:val="0"/>
        <w:keepLines w:val="0"/>
        <w:pageBreakBefore w:val="0"/>
        <w:widowControl/>
        <w:kinsoku/>
        <w:wordWrap/>
        <w:overflowPunct/>
        <w:topLinePunct w:val="0"/>
        <w:autoSpaceDE w:val="0"/>
        <w:autoSpaceDN w:val="0"/>
        <w:bidi w:val="0"/>
        <w:adjustRightInd/>
        <w:snapToGrid/>
        <w:spacing w:line="400" w:lineRule="exact"/>
        <w:ind w:left="0" w:leftChars="0" w:firstLine="480" w:firstLineChars="20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1　原材料产地或厂家、品种、质量等有显著变化时；</w:t>
      </w:r>
    </w:p>
    <w:p w14:paraId="095B9E35">
      <w:pPr>
        <w:keepNext w:val="0"/>
        <w:keepLines w:val="0"/>
        <w:pageBreakBefore w:val="0"/>
        <w:widowControl/>
        <w:kinsoku/>
        <w:wordWrap/>
        <w:overflowPunct/>
        <w:topLinePunct w:val="0"/>
        <w:autoSpaceDE w:val="0"/>
        <w:autoSpaceDN w:val="0"/>
        <w:bidi w:val="0"/>
        <w:adjustRightInd/>
        <w:snapToGrid/>
        <w:spacing w:line="400" w:lineRule="exact"/>
        <w:ind w:left="0" w:leftChars="0" w:firstLine="480" w:firstLineChars="20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2　对混凝土性能有特殊要求时；</w:t>
      </w:r>
    </w:p>
    <w:p w14:paraId="1A152917">
      <w:pPr>
        <w:keepNext w:val="0"/>
        <w:keepLines w:val="0"/>
        <w:pageBreakBefore w:val="0"/>
        <w:widowControl/>
        <w:kinsoku/>
        <w:wordWrap/>
        <w:overflowPunct/>
        <w:topLinePunct w:val="0"/>
        <w:autoSpaceDE w:val="0"/>
        <w:autoSpaceDN w:val="0"/>
        <w:bidi w:val="0"/>
        <w:adjustRightInd/>
        <w:snapToGrid/>
        <w:spacing w:line="400" w:lineRule="exact"/>
        <w:ind w:left="0" w:leftChars="0" w:firstLine="480" w:firstLineChars="20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3　同一配合比生产间断6个月以上时。</w:t>
      </w:r>
    </w:p>
    <w:p w14:paraId="03EE49BA">
      <w:pPr>
        <w:keepNext w:val="0"/>
        <w:keepLines w:val="0"/>
        <w:pageBreakBefore w:val="0"/>
        <w:widowControl/>
        <w:numPr>
          <w:ilvl w:val="0"/>
          <w:numId w:val="11"/>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掺花岗岩石粉的混凝土的生产使用配合比应进行性能验证，且每半年</w:t>
      </w:r>
      <w:r>
        <w:rPr>
          <w:rFonts w:hint="eastAsia" w:ascii="Times New Roman" w:hAnsi="Times New Roman" w:cs="Times New Roman"/>
          <w:b w:val="0"/>
          <w:bCs w:val="0"/>
          <w:sz w:val="24"/>
          <w:szCs w:val="24"/>
          <w:highlight w:val="none"/>
          <w:lang w:val="en-US" w:eastAsia="zh-CN"/>
        </w:rPr>
        <w:t>不应少于1次</w:t>
      </w:r>
      <w:r>
        <w:rPr>
          <w:rFonts w:hint="default" w:ascii="Times New Roman" w:hAnsi="Times New Roman" w:cs="Times New Roman" w:eastAsiaTheme="minorEastAsia"/>
          <w:b w:val="0"/>
          <w:bCs w:val="0"/>
          <w:sz w:val="24"/>
          <w:szCs w:val="24"/>
          <w:highlight w:val="none"/>
        </w:rPr>
        <w:t>。</w:t>
      </w:r>
    </w:p>
    <w:p w14:paraId="40A0847F">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76BBFF8B">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3BDC3836">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691E6C50">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20CDE02B">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3252BB63">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61436786">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3728579D">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bCs w:val="0"/>
          <w:i w:val="0"/>
          <w:sz w:val="32"/>
          <w:szCs w:val="32"/>
          <w:highlight w:val="none"/>
          <w:lang w:val="en-US" w:eastAsia="zh-CN" w:bidi="ar-SA"/>
        </w:rPr>
      </w:pPr>
    </w:p>
    <w:p w14:paraId="6FFBF88B">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eastAsia" w:ascii="Times New Roman" w:hAnsi="Times New Roman" w:eastAsia="黑体" w:cs="Times New Roman"/>
          <w:b w:val="0"/>
          <w:i w:val="0"/>
          <w:sz w:val="32"/>
          <w:szCs w:val="32"/>
          <w:highlight w:val="none"/>
          <w:lang w:val="en-US" w:eastAsia="zh-CN" w:bidi="ar-SA"/>
        </w:rPr>
      </w:pPr>
      <w:bookmarkStart w:id="44" w:name="_Toc11251"/>
      <w:r>
        <w:rPr>
          <w:rFonts w:hint="eastAsia" w:ascii="Times New Roman" w:hAnsi="Times New Roman" w:eastAsia="黑体" w:cs="Times New Roman"/>
          <w:b w:val="0"/>
          <w:i w:val="0"/>
          <w:sz w:val="32"/>
          <w:szCs w:val="32"/>
          <w:highlight w:val="none"/>
          <w:lang w:val="en-US" w:eastAsia="zh-CN" w:bidi="ar-SA"/>
        </w:rPr>
        <w:t>6　施</w:t>
      </w:r>
      <w:r>
        <w:rPr>
          <w:rFonts w:hint="eastAsia" w:ascii="Times New Roman" w:hAnsi="Times New Roman" w:cs="Times New Roman"/>
          <w:b w:val="0"/>
          <w:i w:val="0"/>
          <w:sz w:val="32"/>
          <w:szCs w:val="32"/>
          <w:highlight w:val="none"/>
          <w:lang w:val="en-US" w:eastAsia="zh-CN" w:bidi="ar-SA"/>
        </w:rPr>
        <w:t xml:space="preserve">  </w:t>
      </w:r>
      <w:r>
        <w:rPr>
          <w:rFonts w:hint="eastAsia" w:ascii="Times New Roman" w:hAnsi="Times New Roman" w:eastAsia="黑体" w:cs="Times New Roman"/>
          <w:b w:val="0"/>
          <w:i w:val="0"/>
          <w:sz w:val="32"/>
          <w:szCs w:val="32"/>
          <w:highlight w:val="none"/>
          <w:lang w:val="en-US" w:eastAsia="zh-CN" w:bidi="ar-SA"/>
        </w:rPr>
        <w:t>工</w:t>
      </w:r>
      <w:bookmarkEnd w:id="44"/>
    </w:p>
    <w:p w14:paraId="07EBD1FD">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45" w:name="_Toc5116"/>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6.1　</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一般规定</w:t>
      </w:r>
      <w:bookmarkEnd w:id="45"/>
    </w:p>
    <w:p w14:paraId="08115C17">
      <w:pPr>
        <w:keepNext w:val="0"/>
        <w:keepLines w:val="0"/>
        <w:pageBreakBefore w:val="0"/>
        <w:widowControl/>
        <w:numPr>
          <w:ilvl w:val="0"/>
          <w:numId w:val="12"/>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混凝土的生产应符合</w:t>
      </w:r>
      <w:r>
        <w:rPr>
          <w:rFonts w:hint="eastAsia" w:ascii="Times New Roman" w:hAnsi="Times New Roman" w:cs="Times New Roman"/>
          <w:b w:val="0"/>
          <w:bCs w:val="0"/>
          <w:sz w:val="24"/>
          <w:szCs w:val="24"/>
          <w:highlight w:val="none"/>
          <w:lang w:eastAsia="zh-CN"/>
        </w:rPr>
        <w:t>现行国家标准</w:t>
      </w:r>
      <w:r>
        <w:rPr>
          <w:rFonts w:hint="default" w:ascii="Times New Roman" w:hAnsi="Times New Roman" w:cs="Times New Roman" w:eastAsiaTheme="minorEastAsia"/>
          <w:b w:val="0"/>
          <w:bCs w:val="0"/>
          <w:sz w:val="24"/>
          <w:szCs w:val="24"/>
          <w:highlight w:val="none"/>
        </w:rPr>
        <w:t>《预拌混凝土》GB/T 14902和《预拌混凝土绿色生产及管理技术规程》JGJ/T 328的有关规定。</w:t>
      </w:r>
    </w:p>
    <w:p w14:paraId="25DA0637">
      <w:pPr>
        <w:keepNext w:val="0"/>
        <w:keepLines w:val="0"/>
        <w:pageBreakBefore w:val="0"/>
        <w:widowControl/>
        <w:numPr>
          <w:ilvl w:val="0"/>
          <w:numId w:val="12"/>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混凝土的施工应符合现行国家标准《混凝土结构工程施工规范》GB 50666和《混凝土质量控制标准》GB 50164的有关规定。</w:t>
      </w:r>
    </w:p>
    <w:p w14:paraId="35776F20">
      <w:pPr>
        <w:keepNext w:val="0"/>
        <w:keepLines w:val="0"/>
        <w:pageBreakBefore w:val="0"/>
        <w:widowControl/>
        <w:numPr>
          <w:ilvl w:val="0"/>
          <w:numId w:val="12"/>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高强混凝土、大体积混凝土的施工应分别符合</w:t>
      </w:r>
      <w:r>
        <w:rPr>
          <w:rFonts w:hint="eastAsia" w:ascii="Times New Roman" w:hAnsi="Times New Roman" w:cs="Times New Roman"/>
          <w:b w:val="0"/>
          <w:bCs w:val="0"/>
          <w:sz w:val="24"/>
          <w:szCs w:val="24"/>
          <w:highlight w:val="none"/>
          <w:lang w:eastAsia="zh-CN"/>
        </w:rPr>
        <w:t>现行国家标准</w:t>
      </w:r>
      <w:r>
        <w:rPr>
          <w:rFonts w:hint="default" w:ascii="Times New Roman" w:hAnsi="Times New Roman" w:cs="Times New Roman" w:eastAsiaTheme="minorEastAsia"/>
          <w:b w:val="0"/>
          <w:bCs w:val="0"/>
          <w:sz w:val="24"/>
          <w:szCs w:val="24"/>
          <w:highlight w:val="none"/>
        </w:rPr>
        <w:t>《高强混凝土应用技术规程》JGJ/T 281和《大体积混凝土施工标准》GB 50496的有关规定。</w:t>
      </w:r>
    </w:p>
    <w:p w14:paraId="5DD7EE00">
      <w:pPr>
        <w:keepNext w:val="0"/>
        <w:keepLines w:val="0"/>
        <w:pageBreakBefore w:val="0"/>
        <w:widowControl/>
        <w:numPr>
          <w:ilvl w:val="0"/>
          <w:numId w:val="12"/>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花岗岩石粉使用前，应进行与外加剂相容性试验，试验应采用工程混凝土配合比的胶凝材料组成，应符合现行行业标准《水泥与减水剂相容性试验方法》JC/T 1083的有关规定。</w:t>
      </w:r>
    </w:p>
    <w:p w14:paraId="76208F36">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46" w:name="_Toc15428"/>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w:t>
      </w:r>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.2　</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原材料贮存与计量</w:t>
      </w:r>
      <w:bookmarkEnd w:id="46"/>
    </w:p>
    <w:p w14:paraId="1DD4FFB6">
      <w:pPr>
        <w:keepNext w:val="0"/>
        <w:keepLines w:val="0"/>
        <w:pageBreakBefore w:val="0"/>
        <w:widowControl/>
        <w:numPr>
          <w:ilvl w:val="0"/>
          <w:numId w:val="13"/>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花岗岩石粉应单独贮存，不得与水泥和其他矿物掺合料相混，并应防止受潮或被其他杂物污染。</w:t>
      </w:r>
    </w:p>
    <w:p w14:paraId="7E055834">
      <w:pPr>
        <w:keepNext w:val="0"/>
        <w:keepLines w:val="0"/>
        <w:pageBreakBefore w:val="0"/>
        <w:widowControl/>
        <w:numPr>
          <w:ilvl w:val="0"/>
          <w:numId w:val="13"/>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其他混凝土原材料的贮存应符合现行国家标准《混凝土质量控制标准》GB 50164的有关规定。</w:t>
      </w:r>
    </w:p>
    <w:p w14:paraId="2F885453">
      <w:pPr>
        <w:keepNext w:val="0"/>
        <w:keepLines w:val="0"/>
        <w:pageBreakBefore w:val="0"/>
        <w:widowControl/>
        <w:numPr>
          <w:ilvl w:val="0"/>
          <w:numId w:val="13"/>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原材料计量应采用电子计量设备。计量设备应能连续计量不同混凝土配合比的各种原材料，并应具有逐盘记录和储存计量结果（数据）的功能，其精度应符合现行国家标准《建筑施工机械与设备 混凝土搅拌站（楼）》GB/T 10171的规定。计量设备应具有法定计量部门签发的有效检定或校准证书，并应定期校验。混凝土生产单位每月应至少自检一次；每一工作班开始前，应对计量设备进行零点校准</w:t>
      </w:r>
      <w:r>
        <w:rPr>
          <w:rFonts w:hint="eastAsia" w:ascii="Times New Roman" w:hAnsi="Times New Roman" w:cs="Times New Roman"/>
          <w:sz w:val="24"/>
          <w:szCs w:val="24"/>
          <w:highlight w:val="none"/>
          <w:lang w:eastAsia="zh-CN"/>
        </w:rPr>
        <w:t>。</w:t>
      </w:r>
    </w:p>
    <w:p w14:paraId="59543C80">
      <w:pPr>
        <w:keepNext w:val="0"/>
        <w:keepLines w:val="0"/>
        <w:pageBreakBefore w:val="0"/>
        <w:widowControl/>
        <w:numPr>
          <w:ilvl w:val="0"/>
          <w:numId w:val="13"/>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原材料的计量允许偏差不应大于表</w:t>
      </w:r>
      <w:r>
        <w:rPr>
          <w:rFonts w:hint="eastAsia" w:ascii="Times New Roman" w:hAnsi="Times New Roman" w:cs="Times New Roman"/>
          <w:sz w:val="24"/>
          <w:szCs w:val="24"/>
          <w:highlight w:val="none"/>
          <w:lang w:val="en-US" w:eastAsia="zh-CN"/>
        </w:rPr>
        <w:t xml:space="preserve">6.2.4 </w:t>
      </w:r>
      <w:r>
        <w:rPr>
          <w:rFonts w:hint="default" w:ascii="Times New Roman" w:hAnsi="Times New Roman" w:cs="Times New Roman" w:eastAsiaTheme="minorEastAsia"/>
          <w:sz w:val="24"/>
          <w:szCs w:val="24"/>
          <w:highlight w:val="none"/>
        </w:rPr>
        <w:t>规定的范围</w:t>
      </w:r>
      <w:r>
        <w:rPr>
          <w:rFonts w:hint="eastAsia" w:ascii="Times New Roman" w:hAnsi="Times New Roman" w:cs="Times New Roman"/>
          <w:sz w:val="24"/>
          <w:szCs w:val="24"/>
          <w:highlight w:val="none"/>
          <w:lang w:eastAsia="zh-CN"/>
        </w:rPr>
        <w:t>，</w:t>
      </w:r>
      <w:r>
        <w:rPr>
          <w:rFonts w:hint="default" w:ascii="Times New Roman" w:hAnsi="Times New Roman" w:cs="Times New Roman" w:eastAsiaTheme="minorEastAsia"/>
          <w:sz w:val="24"/>
          <w:szCs w:val="24"/>
          <w:highlight w:val="none"/>
        </w:rPr>
        <w:t>并应每班检查1次。</w:t>
      </w:r>
    </w:p>
    <w:p w14:paraId="29ED689A">
      <w:pPr>
        <w:keepNext w:val="0"/>
        <w:keepLines w:val="0"/>
        <w:pageBreakBefore w:val="0"/>
        <w:widowControl/>
        <w:kinsoku/>
        <w:wordWrap/>
        <w:overflowPunct/>
        <w:topLinePunct w:val="0"/>
        <w:autoSpaceDE w:val="0"/>
        <w:autoSpaceDN w:val="0"/>
        <w:bidi w:val="0"/>
        <w:adjustRightInd/>
        <w:snapToGrid/>
        <w:spacing w:before="157" w:beforeLines="50"/>
        <w:jc w:val="center"/>
        <w:textAlignment w:val="auto"/>
        <w:rPr>
          <w:rFonts w:hint="eastAsia" w:ascii="Times New Roman" w:hAnsi="Times New Roman" w:eastAsia="黑体" w:cs="Times New Roman"/>
          <w:b w:val="0"/>
          <w:bCs w:val="0"/>
          <w:color w:val="000000" w:themeColor="text1"/>
          <w:sz w:val="21"/>
          <w:szCs w:val="21"/>
          <w:highlight w:val="none"/>
          <w14:textFill>
            <w14:solidFill>
              <w14:schemeClr w14:val="tx1"/>
            </w14:solidFill>
          </w14:textFill>
        </w:rPr>
      </w:pPr>
      <w:r>
        <w:rPr>
          <w:rFonts w:hint="default" w:ascii="Times New Roman" w:hAnsi="Times New Roman" w:eastAsia="黑体" w:cs="Times New Roman"/>
          <w:b w:val="0"/>
          <w:bCs w:val="0"/>
          <w:color w:val="000000" w:themeColor="text1"/>
          <w:sz w:val="21"/>
          <w:szCs w:val="21"/>
          <w:highlight w:val="none"/>
          <w:lang w:val="en-US" w:eastAsia="zh-CN"/>
          <w14:textFill>
            <w14:solidFill>
              <w14:schemeClr w14:val="tx1"/>
            </w14:solidFill>
          </w14:textFill>
        </w:rPr>
        <w:t>6</w:t>
      </w:r>
      <w:r>
        <w:rPr>
          <w:rFonts w:hint="default" w:ascii="Times New Roman" w:hAnsi="Times New Roman" w:eastAsia="黑体" w:cs="Times New Roman"/>
          <w:b w:val="0"/>
          <w:bCs w:val="0"/>
          <w:color w:val="000000" w:themeColor="text1"/>
          <w:sz w:val="21"/>
          <w:szCs w:val="21"/>
          <w:highlight w:val="none"/>
          <w14:textFill>
            <w14:solidFill>
              <w14:schemeClr w14:val="tx1"/>
            </w14:solidFill>
          </w14:textFill>
        </w:rPr>
        <w:t>.2.4　</w:t>
      </w:r>
      <w:r>
        <w:rPr>
          <w:rFonts w:hint="eastAsia" w:ascii="Times New Roman" w:hAnsi="Times New Roman" w:eastAsia="黑体" w:cs="Times New Roman"/>
          <w:b w:val="0"/>
          <w:bCs w:val="0"/>
          <w:color w:val="000000" w:themeColor="text1"/>
          <w:sz w:val="21"/>
          <w:szCs w:val="21"/>
          <w:highlight w:val="none"/>
          <w14:textFill>
            <w14:solidFill>
              <w14:schemeClr w14:val="tx1"/>
            </w14:solidFill>
          </w14:textFill>
        </w:rPr>
        <w:t>混凝土原材料计量允许偏差</w:t>
      </w:r>
    </w:p>
    <w:tbl>
      <w:tblPr>
        <w:tblStyle w:val="22"/>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631"/>
        <w:gridCol w:w="1031"/>
        <w:gridCol w:w="1032"/>
        <w:gridCol w:w="1034"/>
        <w:gridCol w:w="1034"/>
        <w:gridCol w:w="1242"/>
        <w:gridCol w:w="1566"/>
      </w:tblGrid>
      <w:tr w14:paraId="3D02C7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375" w:type="pct"/>
            <w:shd w:val="clear" w:color="auto" w:fill="FFFFFF"/>
            <w:noWrap w:val="0"/>
            <w:vAlign w:val="center"/>
          </w:tcPr>
          <w:p w14:paraId="54290C88">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原材料品种</w:t>
            </w:r>
          </w:p>
        </w:tc>
        <w:tc>
          <w:tcPr>
            <w:tcW w:w="539" w:type="pct"/>
            <w:shd w:val="clear" w:color="auto" w:fill="FFFFFF"/>
            <w:noWrap w:val="0"/>
            <w:vAlign w:val="center"/>
          </w:tcPr>
          <w:p w14:paraId="5A75C1F6">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水泥</w:t>
            </w:r>
          </w:p>
        </w:tc>
        <w:tc>
          <w:tcPr>
            <w:tcW w:w="539" w:type="pct"/>
            <w:shd w:val="clear" w:color="auto" w:fill="FFFFFF"/>
            <w:noWrap w:val="0"/>
            <w:vAlign w:val="center"/>
          </w:tcPr>
          <w:p w14:paraId="14F32158">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骨料</w:t>
            </w:r>
          </w:p>
        </w:tc>
        <w:tc>
          <w:tcPr>
            <w:tcW w:w="540" w:type="pct"/>
            <w:shd w:val="clear" w:color="auto" w:fill="FFFFFF"/>
            <w:noWrap w:val="0"/>
            <w:vAlign w:val="center"/>
          </w:tcPr>
          <w:p w14:paraId="66553D46">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水</w:t>
            </w:r>
          </w:p>
        </w:tc>
        <w:tc>
          <w:tcPr>
            <w:tcW w:w="540" w:type="pct"/>
            <w:shd w:val="clear" w:color="auto" w:fill="FFFFFF"/>
            <w:noWrap w:val="0"/>
            <w:vAlign w:val="center"/>
          </w:tcPr>
          <w:p w14:paraId="294C1992">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外加剂</w:t>
            </w:r>
          </w:p>
        </w:tc>
        <w:tc>
          <w:tcPr>
            <w:tcW w:w="649" w:type="pct"/>
            <w:shd w:val="clear" w:color="auto" w:fill="FFFFFF"/>
            <w:noWrap w:val="0"/>
            <w:vAlign w:val="center"/>
          </w:tcPr>
          <w:p w14:paraId="1C171E33">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eastAsia" w:ascii="Times New Roman" w:hAnsi="Times New Roman" w:eastAsia="新宋体" w:cs="Times New Roman"/>
                <w:color w:val="000000" w:themeColor="text1"/>
                <w:kern w:val="0"/>
                <w:sz w:val="18"/>
                <w:szCs w:val="18"/>
                <w:highlight w:val="none"/>
                <w:lang w:val="en-US" w:eastAsia="zh-CN"/>
                <w14:textFill>
                  <w14:solidFill>
                    <w14:schemeClr w14:val="tx1"/>
                  </w14:solidFill>
                </w14:textFill>
              </w:rPr>
              <w:t>花岗岩</w:t>
            </w:r>
            <w:r>
              <w:rPr>
                <w:rFonts w:hint="default" w:ascii="Times New Roman" w:hAnsi="Times New Roman" w:eastAsia="新宋体" w:cs="Times New Roman"/>
                <w:color w:val="000000" w:themeColor="text1"/>
                <w:kern w:val="0"/>
                <w:sz w:val="18"/>
                <w:szCs w:val="18"/>
                <w:highlight w:val="none"/>
                <w:lang w:eastAsia="zh-CN"/>
                <w14:textFill>
                  <w14:solidFill>
                    <w14:schemeClr w14:val="tx1"/>
                  </w14:solidFill>
                </w14:textFill>
              </w:rPr>
              <w:t>石粉</w:t>
            </w:r>
          </w:p>
        </w:tc>
        <w:tc>
          <w:tcPr>
            <w:tcW w:w="814" w:type="pct"/>
            <w:shd w:val="clear" w:color="auto" w:fill="FFFFFF"/>
            <w:noWrap w:val="0"/>
            <w:vAlign w:val="center"/>
          </w:tcPr>
          <w:p w14:paraId="486ECFB2">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eastAsia" w:ascii="Times New Roman" w:hAnsi="Times New Roman" w:cs="Times New Roman"/>
                <w:color w:val="000000" w:themeColor="text1"/>
                <w:sz w:val="18"/>
                <w:szCs w:val="18"/>
                <w:highlight w:val="none"/>
                <w:lang w:eastAsia="zh-CN"/>
                <w14:textFill>
                  <w14:solidFill>
                    <w14:schemeClr w14:val="tx1"/>
                  </w14:solidFill>
                </w14:textFill>
              </w:rPr>
              <w:t>其他</w:t>
            </w:r>
            <w:r>
              <w:rPr>
                <w:rFonts w:hint="default" w:ascii="Times New Roman" w:hAnsi="Times New Roman" w:cs="Times New Roman"/>
                <w:color w:val="000000" w:themeColor="text1"/>
                <w:sz w:val="18"/>
                <w:szCs w:val="18"/>
                <w:highlight w:val="none"/>
                <w14:textFill>
                  <w14:solidFill>
                    <w14:schemeClr w14:val="tx1"/>
                  </w14:solidFill>
                </w14:textFill>
              </w:rPr>
              <w:t>矿物</w:t>
            </w: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掺合料</w:t>
            </w:r>
          </w:p>
        </w:tc>
      </w:tr>
      <w:tr w14:paraId="59BEFE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375" w:type="pct"/>
            <w:shd w:val="clear" w:color="auto" w:fill="FFFFFF"/>
            <w:noWrap w:val="0"/>
            <w:vAlign w:val="center"/>
          </w:tcPr>
          <w:p w14:paraId="39F2A874">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每盘计量允许偏差</w:t>
            </w:r>
            <w:r>
              <w:rPr>
                <w:rFonts w:hint="eastAsia" w:ascii="Times New Roman" w:hAnsi="Times New Roman" w:cs="Times New Roman"/>
                <w:color w:val="000000" w:themeColor="text1"/>
                <w:sz w:val="18"/>
                <w:szCs w:val="18"/>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18"/>
                <w:szCs w:val="18"/>
                <w:highlight w:val="none"/>
                <w14:textFill>
                  <w14:solidFill>
                    <w14:schemeClr w14:val="tx1"/>
                  </w14:solidFill>
                </w14:textFill>
              </w:rPr>
              <w:t>%</w:t>
            </w:r>
          </w:p>
        </w:tc>
        <w:tc>
          <w:tcPr>
            <w:tcW w:w="539" w:type="pct"/>
            <w:shd w:val="clear" w:color="auto" w:fill="FFFFFF"/>
            <w:noWrap w:val="0"/>
            <w:vAlign w:val="center"/>
          </w:tcPr>
          <w:p w14:paraId="300B1235">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±2</w:t>
            </w:r>
          </w:p>
        </w:tc>
        <w:tc>
          <w:tcPr>
            <w:tcW w:w="539" w:type="pct"/>
            <w:shd w:val="clear" w:color="auto" w:fill="FFFFFF"/>
            <w:noWrap w:val="0"/>
            <w:vAlign w:val="center"/>
          </w:tcPr>
          <w:p w14:paraId="6F477E06">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±3</w:t>
            </w:r>
          </w:p>
        </w:tc>
        <w:tc>
          <w:tcPr>
            <w:tcW w:w="540" w:type="pct"/>
            <w:shd w:val="clear" w:color="auto" w:fill="FFFFFF"/>
            <w:noWrap w:val="0"/>
            <w:vAlign w:val="center"/>
          </w:tcPr>
          <w:p w14:paraId="37043D6A">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c>
          <w:tcPr>
            <w:tcW w:w="540" w:type="pct"/>
            <w:shd w:val="clear" w:color="auto" w:fill="FFFFFF"/>
            <w:noWrap w:val="0"/>
            <w:vAlign w:val="center"/>
          </w:tcPr>
          <w:p w14:paraId="696EC45C">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c>
          <w:tcPr>
            <w:tcW w:w="649" w:type="pct"/>
            <w:shd w:val="clear" w:color="auto" w:fill="FFFFFF"/>
            <w:noWrap w:val="0"/>
            <w:vAlign w:val="center"/>
          </w:tcPr>
          <w:p w14:paraId="3756E95D">
            <w:pPr>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±2</w:t>
            </w:r>
          </w:p>
        </w:tc>
        <w:tc>
          <w:tcPr>
            <w:tcW w:w="814" w:type="pct"/>
            <w:shd w:val="clear" w:color="auto" w:fill="FFFFFF"/>
            <w:noWrap w:val="0"/>
            <w:vAlign w:val="center"/>
          </w:tcPr>
          <w:p w14:paraId="66E3B296">
            <w:pPr>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±2</w:t>
            </w:r>
          </w:p>
        </w:tc>
      </w:tr>
      <w:tr w14:paraId="4F6E9E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375" w:type="pct"/>
            <w:shd w:val="clear" w:color="auto" w:fill="FFFFFF"/>
            <w:noWrap w:val="0"/>
            <w:vAlign w:val="center"/>
          </w:tcPr>
          <w:p w14:paraId="1747D3A5">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累计计量允许偏差</w:t>
            </w:r>
            <w:r>
              <w:rPr>
                <w:rFonts w:hint="eastAsia" w:ascii="Times New Roman" w:hAnsi="Times New Roman" w:cs="Times New Roman"/>
                <w:color w:val="000000" w:themeColor="text1"/>
                <w:sz w:val="18"/>
                <w:szCs w:val="18"/>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18"/>
                <w:szCs w:val="18"/>
                <w:highlight w:val="none"/>
                <w14:textFill>
                  <w14:solidFill>
                    <w14:schemeClr w14:val="tx1"/>
                  </w14:solidFill>
                </w14:textFill>
              </w:rPr>
              <w:t>%</w:t>
            </w:r>
          </w:p>
        </w:tc>
        <w:tc>
          <w:tcPr>
            <w:tcW w:w="539" w:type="pct"/>
            <w:shd w:val="clear" w:color="auto" w:fill="FFFFFF"/>
            <w:noWrap w:val="0"/>
            <w:vAlign w:val="center"/>
          </w:tcPr>
          <w:p w14:paraId="33E1F68B">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c>
          <w:tcPr>
            <w:tcW w:w="539" w:type="pct"/>
            <w:shd w:val="clear" w:color="auto" w:fill="FFFFFF"/>
            <w:noWrap w:val="0"/>
            <w:vAlign w:val="center"/>
          </w:tcPr>
          <w:p w14:paraId="74325B80">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±2</w:t>
            </w:r>
          </w:p>
        </w:tc>
        <w:tc>
          <w:tcPr>
            <w:tcW w:w="540" w:type="pct"/>
            <w:shd w:val="clear" w:color="auto" w:fill="FFFFFF"/>
            <w:noWrap w:val="0"/>
            <w:vAlign w:val="center"/>
          </w:tcPr>
          <w:p w14:paraId="566083AF">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c>
          <w:tcPr>
            <w:tcW w:w="540" w:type="pct"/>
            <w:shd w:val="clear" w:color="auto" w:fill="FFFFFF"/>
            <w:noWrap w:val="0"/>
            <w:vAlign w:val="center"/>
          </w:tcPr>
          <w:p w14:paraId="30700297">
            <w:pPr>
              <w:widowControl/>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c>
          <w:tcPr>
            <w:tcW w:w="649" w:type="pct"/>
            <w:shd w:val="clear" w:color="auto" w:fill="FFFFFF"/>
            <w:noWrap w:val="0"/>
            <w:vAlign w:val="center"/>
          </w:tcPr>
          <w:p w14:paraId="5950DB08">
            <w:pPr>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c>
          <w:tcPr>
            <w:tcW w:w="814" w:type="pct"/>
            <w:shd w:val="clear" w:color="auto" w:fill="FFFFFF"/>
            <w:noWrap w:val="0"/>
            <w:vAlign w:val="center"/>
          </w:tcPr>
          <w:p w14:paraId="47F720E6">
            <w:pPr>
              <w:ind w:left="0" w:leftChars="0" w:firstLine="0" w:firstLineChars="0"/>
              <w:jc w:val="cente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±1</w:t>
            </w:r>
          </w:p>
        </w:tc>
      </w:tr>
      <w:tr w14:paraId="5BEFC7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5000" w:type="pct"/>
            <w:gridSpan w:val="7"/>
            <w:shd w:val="clear" w:color="auto" w:fill="FFFFFF"/>
            <w:noWrap w:val="0"/>
            <w:vAlign w:val="center"/>
          </w:tcPr>
          <w:p w14:paraId="1B8D375F">
            <w:pPr>
              <w:widowControl/>
              <w:ind w:left="0" w:leftChars="0" w:firstLine="0" w:firstLineChars="0"/>
              <w:jc w:val="left"/>
              <w:rPr>
                <w:rFonts w:hint="default" w:ascii="Times New Roman" w:hAnsi="Times New Roman" w:eastAsia="新宋体" w:cs="Times New Roman"/>
                <w:color w:val="000000" w:themeColor="text1"/>
                <w:kern w:val="0"/>
                <w:sz w:val="18"/>
                <w:szCs w:val="18"/>
                <w:highlight w:val="none"/>
                <w14:textFill>
                  <w14:solidFill>
                    <w14:schemeClr w14:val="tx1"/>
                  </w14:solidFill>
                </w14:textFill>
              </w:rPr>
            </w:pPr>
            <w:r>
              <w:rPr>
                <w:rFonts w:hint="default" w:ascii="Times New Roman" w:hAnsi="Times New Roman" w:eastAsia="新宋体" w:cs="Times New Roman"/>
                <w:color w:val="000000" w:themeColor="text1"/>
                <w:kern w:val="0"/>
                <w:sz w:val="18"/>
                <w:szCs w:val="18"/>
                <w:highlight w:val="none"/>
                <w14:textFill>
                  <w14:solidFill>
                    <w14:schemeClr w14:val="tx1"/>
                  </w14:solidFill>
                </w14:textFill>
              </w:rPr>
              <w:t>注：累计计量允许偏差是指每一运输车中各盘混凝土的每种材料计量和的偏差。</w:t>
            </w:r>
          </w:p>
        </w:tc>
      </w:tr>
    </w:tbl>
    <w:p w14:paraId="57077A77">
      <w:pPr>
        <w:keepNext w:val="0"/>
        <w:keepLines w:val="0"/>
        <w:pageBreakBefore w:val="0"/>
        <w:widowControl/>
        <w:numPr>
          <w:ilvl w:val="0"/>
          <w:numId w:val="13"/>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原材料计量过程中，应根据粗、细骨料含水率的变化，调整粗、细骨料和拌合用水的用量。</w:t>
      </w:r>
    </w:p>
    <w:p w14:paraId="22A4CF71">
      <w:pPr>
        <w:keepNext w:val="0"/>
        <w:keepLines w:val="0"/>
        <w:pageBreakBefore w:val="0"/>
        <w:widowControl/>
        <w:kinsoku/>
        <w:wordWrap/>
        <w:overflowPunct/>
        <w:topLinePunct w:val="0"/>
        <w:autoSpaceDE w:val="0"/>
        <w:autoSpaceDN w:val="0"/>
        <w:bidi w:val="0"/>
        <w:adjustRightInd/>
        <w:snapToGrid/>
        <w:spacing w:line="400" w:lineRule="exact"/>
        <w:ind w:left="0" w:leftChars="0"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检验方法：检查产品合格证、有效期内的型式检验报告和进场复验报告。</w:t>
      </w:r>
    </w:p>
    <w:p w14:paraId="7B432C87">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47" w:name="_Toc18867"/>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6.3　</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搅拌与运输</w:t>
      </w:r>
      <w:bookmarkEnd w:id="47"/>
    </w:p>
    <w:p w14:paraId="671C3CED">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b/>
          <w:bCs/>
          <w:sz w:val="24"/>
          <w:szCs w:val="24"/>
          <w:highlight w:val="none"/>
          <w:lang w:val="en-US" w:eastAsia="zh-CN" w:bidi="ar-SA"/>
        </w:rPr>
        <w:t xml:space="preserve">6.3.1 </w:t>
      </w:r>
      <w:r>
        <w:rPr>
          <w:rFonts w:hint="default" w:ascii="Times New Roman" w:hAnsi="Times New Roman" w:cs="Times New Roman" w:eastAsiaTheme="minorEastAsia"/>
          <w:sz w:val="24"/>
          <w:szCs w:val="24"/>
          <w:highlight w:val="none"/>
        </w:rPr>
        <w:t>花岗岩石粉宜与其他胶凝材料一起投料搅拌；混凝土搅拌应采用强制式搅拌机，搅拌机应符合现行国家标准《建筑施工机械与设备 混凝土搅拌机》GB/T 9142的有关规定，预拌混凝土企业生产采用的搅拌机应符合现行国家标准《建筑施工机械与设备 混凝土搅拌站（楼）》GB/T 10171的有关规定。</w:t>
      </w:r>
    </w:p>
    <w:p w14:paraId="3591614C">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b/>
          <w:bCs/>
          <w:sz w:val="24"/>
          <w:szCs w:val="24"/>
          <w:highlight w:val="none"/>
          <w:lang w:val="en-US" w:eastAsia="zh-CN" w:bidi="ar-SA"/>
        </w:rPr>
        <w:t xml:space="preserve">6.3.2 </w:t>
      </w:r>
      <w:r>
        <w:rPr>
          <w:rFonts w:hint="default" w:ascii="Times New Roman" w:hAnsi="Times New Roman" w:cs="Times New Roman" w:eastAsiaTheme="minorEastAsia"/>
          <w:sz w:val="24"/>
          <w:szCs w:val="24"/>
          <w:highlight w:val="none"/>
        </w:rPr>
        <w:t>混凝土拌合物应搅拌均匀；同一盘混凝土的搅拌匀质性应符合现行国家标准《混凝土质量控制标准》GB 50164的有关规定。</w:t>
      </w:r>
    </w:p>
    <w:p w14:paraId="1E279B39">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lang w:eastAsia="zh-CN"/>
        </w:rPr>
      </w:pPr>
      <w:r>
        <w:rPr>
          <w:rFonts w:hint="eastAsia" w:ascii="Times New Roman" w:hAnsi="Times New Roman" w:cs="Times New Roman"/>
          <w:b/>
          <w:bCs/>
          <w:sz w:val="24"/>
          <w:szCs w:val="24"/>
          <w:highlight w:val="none"/>
          <w:lang w:val="en-US" w:eastAsia="zh-CN"/>
        </w:rPr>
        <w:t>6.3.3</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eastAsiaTheme="minorEastAsia"/>
          <w:sz w:val="24"/>
          <w:szCs w:val="24"/>
          <w:highlight w:val="none"/>
          <w:lang w:eastAsia="zh-CN"/>
        </w:rPr>
        <w:t>混凝土搅拌的最短时间应保证混凝土拌合物搅拌均匀；当搅拌高强混凝土或冬期施工时，搅拌时间应适当延长。</w:t>
      </w:r>
    </w:p>
    <w:p w14:paraId="335665B0">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lang w:eastAsia="zh-CN"/>
        </w:rPr>
      </w:pPr>
      <w:r>
        <w:rPr>
          <w:rFonts w:hint="eastAsia" w:ascii="Times New Roman" w:hAnsi="Times New Roman" w:cs="Times New Roman"/>
          <w:b/>
          <w:bCs/>
          <w:sz w:val="24"/>
          <w:szCs w:val="24"/>
          <w:highlight w:val="none"/>
          <w:lang w:val="en-US" w:eastAsia="zh-CN"/>
        </w:rPr>
        <w:t xml:space="preserve">6.3.4 </w:t>
      </w:r>
      <w:r>
        <w:rPr>
          <w:rFonts w:hint="default" w:ascii="Times New Roman" w:hAnsi="Times New Roman" w:cs="Times New Roman" w:eastAsiaTheme="minorEastAsia"/>
          <w:sz w:val="24"/>
          <w:szCs w:val="24"/>
          <w:highlight w:val="none"/>
          <w:lang w:eastAsia="zh-CN"/>
        </w:rPr>
        <w:t>炎热季节施工时，应采取遮阳、喷淋、风冷等措施降低骨料温度；搅拌混凝土时可采用冷水或掺加冰屑降低拌合物温度。</w:t>
      </w:r>
    </w:p>
    <w:p w14:paraId="6DEA3CBE">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b/>
          <w:bCs/>
          <w:sz w:val="24"/>
          <w:szCs w:val="24"/>
          <w:highlight w:val="none"/>
          <w:lang w:val="en-US" w:eastAsia="zh-CN" w:bidi="ar-SA"/>
        </w:rPr>
        <w:t>6.3.</w:t>
      </w:r>
      <w:r>
        <w:rPr>
          <w:rFonts w:hint="eastAsia" w:ascii="Times New Roman" w:hAnsi="Times New Roman" w:cs="Times New Roman"/>
          <w:b/>
          <w:bCs/>
          <w:sz w:val="24"/>
          <w:szCs w:val="24"/>
          <w:highlight w:val="none"/>
          <w:lang w:val="en-US" w:eastAsia="zh-CN" w:bidi="ar-SA"/>
        </w:rPr>
        <w:t>5</w:t>
      </w:r>
      <w:r>
        <w:rPr>
          <w:rFonts w:hint="default" w:ascii="Times New Roman" w:hAnsi="Times New Roman" w:cs="Times New Roman" w:eastAsiaTheme="minorEastAsia"/>
          <w:b/>
          <w:bCs/>
          <w:sz w:val="24"/>
          <w:szCs w:val="24"/>
          <w:highlight w:val="none"/>
          <w:lang w:val="en-US" w:eastAsia="zh-CN" w:bidi="ar-SA"/>
        </w:rPr>
        <w:t xml:space="preserve"> </w:t>
      </w:r>
      <w:r>
        <w:rPr>
          <w:rFonts w:hint="default" w:ascii="Times New Roman" w:hAnsi="Times New Roman" w:cs="Times New Roman" w:eastAsiaTheme="minorEastAsia"/>
          <w:sz w:val="24"/>
          <w:szCs w:val="24"/>
          <w:highlight w:val="none"/>
        </w:rPr>
        <w:t>混凝土运输应采用符合现行国家标准《混凝土搅拌运输车》GB/T 26408规定的搅拌运输车，</w:t>
      </w:r>
      <w:r>
        <w:rPr>
          <w:rFonts w:hint="default" w:ascii="Times New Roman" w:hAnsi="Times New Roman" w:cs="Times New Roman" w:eastAsiaTheme="minorEastAsia"/>
          <w:sz w:val="24"/>
          <w:szCs w:val="24"/>
          <w:highlight w:val="none"/>
          <w:lang w:eastAsia="zh-CN"/>
        </w:rPr>
        <w:t>运输车在运输时应能保证混凝土拌合物均匀并不产生分层</w:t>
      </w:r>
      <w:r>
        <w:rPr>
          <w:rFonts w:hint="eastAsia"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eastAsia="zh-CN"/>
        </w:rPr>
        <w:t>离析。对于寒冷、严寒或炎热的</w:t>
      </w:r>
      <w:r>
        <w:rPr>
          <w:rFonts w:hint="eastAsia" w:ascii="Times New Roman" w:hAnsi="Times New Roman" w:cs="Times New Roman" w:eastAsiaTheme="minorEastAsia"/>
          <w:sz w:val="24"/>
          <w:szCs w:val="24"/>
          <w:highlight w:val="none"/>
          <w:lang w:eastAsia="zh-CN"/>
        </w:rPr>
        <w:t>天气</w:t>
      </w:r>
      <w:r>
        <w:rPr>
          <w:rFonts w:hint="default" w:ascii="Times New Roman" w:hAnsi="Times New Roman" w:cs="Times New Roman" w:eastAsiaTheme="minorEastAsia"/>
          <w:sz w:val="24"/>
          <w:szCs w:val="24"/>
          <w:highlight w:val="none"/>
          <w:lang w:eastAsia="zh-CN"/>
        </w:rPr>
        <w:t>情况，搅拌运输车的搅拌罐应有保温或隔热措施。</w:t>
      </w:r>
    </w:p>
    <w:p w14:paraId="44029508">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lang w:val="en-US" w:eastAsia="zh-CN"/>
        </w:rPr>
      </w:pPr>
      <w:r>
        <w:rPr>
          <w:rFonts w:hint="eastAsia" w:ascii="Times New Roman" w:hAnsi="Times New Roman" w:cs="Times New Roman"/>
          <w:b/>
          <w:bCs/>
          <w:sz w:val="24"/>
          <w:szCs w:val="24"/>
          <w:highlight w:val="none"/>
          <w:lang w:val="en-US" w:eastAsia="zh-CN"/>
        </w:rPr>
        <w:t>6.3.6</w:t>
      </w:r>
      <w:r>
        <w:rPr>
          <w:rFonts w:hint="default" w:ascii="Times New Roman" w:hAnsi="Times New Roman" w:cs="Times New Roman" w:eastAsiaTheme="minorEastAsia"/>
          <w:b/>
          <w:bCs/>
          <w:sz w:val="24"/>
          <w:szCs w:val="24"/>
          <w:highlight w:val="none"/>
          <w:lang w:eastAsia="zh-CN"/>
        </w:rPr>
        <w:t xml:space="preserve"> </w:t>
      </w:r>
      <w:r>
        <w:rPr>
          <w:rFonts w:hint="eastAsia" w:ascii="Times New Roman" w:hAnsi="Times New Roman" w:cs="Times New Roman" w:eastAsiaTheme="minorEastAsia"/>
          <w:sz w:val="24"/>
          <w:szCs w:val="24"/>
          <w:highlight w:val="none"/>
          <w:lang w:eastAsia="zh-CN"/>
        </w:rPr>
        <w:t xml:space="preserve"> </w:t>
      </w:r>
      <w:r>
        <w:rPr>
          <w:rFonts w:hint="default" w:ascii="Times New Roman" w:hAnsi="Times New Roman" w:cs="Times New Roman" w:eastAsiaTheme="minorEastAsia"/>
          <w:sz w:val="24"/>
          <w:szCs w:val="24"/>
          <w:highlight w:val="none"/>
          <w:lang w:eastAsia="zh-CN"/>
        </w:rPr>
        <w:t>搅拌运输车在装料前应将搅拌罐内积水排尽，在</w:t>
      </w:r>
      <w:r>
        <w:rPr>
          <w:rFonts w:hint="default" w:ascii="Times New Roman" w:hAnsi="Times New Roman" w:cs="Times New Roman" w:eastAsiaTheme="minorEastAsia"/>
          <w:sz w:val="24"/>
          <w:szCs w:val="24"/>
          <w:highlight w:val="none"/>
          <w:lang w:val="en-US" w:eastAsia="zh-CN"/>
        </w:rPr>
        <w:t>运输</w:t>
      </w:r>
      <w:r>
        <w:rPr>
          <w:rFonts w:hint="default" w:ascii="Times New Roman" w:hAnsi="Times New Roman" w:cs="Times New Roman" w:eastAsiaTheme="minorEastAsia"/>
          <w:sz w:val="24"/>
          <w:szCs w:val="24"/>
          <w:highlight w:val="none"/>
          <w:lang w:eastAsia="zh-CN"/>
        </w:rPr>
        <w:t>过程中</w:t>
      </w:r>
      <w:r>
        <w:rPr>
          <w:rFonts w:hint="default" w:ascii="Times New Roman" w:hAnsi="Times New Roman" w:cs="Times New Roman" w:eastAsiaTheme="minorEastAsia"/>
          <w:sz w:val="24"/>
          <w:szCs w:val="24"/>
          <w:highlight w:val="none"/>
          <w:lang w:val="en-US" w:eastAsia="zh-CN"/>
        </w:rPr>
        <w:t>不应</w:t>
      </w:r>
      <w:r>
        <w:rPr>
          <w:rFonts w:hint="default" w:ascii="Times New Roman" w:hAnsi="Times New Roman" w:cs="Times New Roman" w:eastAsiaTheme="minorEastAsia"/>
          <w:sz w:val="24"/>
          <w:szCs w:val="24"/>
          <w:highlight w:val="none"/>
          <w:lang w:eastAsia="zh-CN"/>
        </w:rPr>
        <w:t>向</w:t>
      </w:r>
      <w:r>
        <w:rPr>
          <w:rFonts w:hint="eastAsia" w:ascii="Times New Roman" w:hAnsi="Times New Roman" w:cs="Times New Roman"/>
          <w:sz w:val="24"/>
          <w:szCs w:val="24"/>
          <w:highlight w:val="none"/>
          <w:lang w:val="en-US" w:eastAsia="zh-CN"/>
        </w:rPr>
        <w:t>花岗岩石粉</w:t>
      </w:r>
      <w:r>
        <w:rPr>
          <w:rFonts w:hint="default" w:ascii="Times New Roman" w:hAnsi="Times New Roman" w:cs="Times New Roman" w:eastAsiaTheme="minorEastAsia"/>
          <w:sz w:val="24"/>
          <w:szCs w:val="24"/>
          <w:highlight w:val="none"/>
          <w:lang w:eastAsia="zh-CN"/>
        </w:rPr>
        <w:t>混凝土拌合物中加水</w:t>
      </w:r>
      <w:r>
        <w:rPr>
          <w:rFonts w:hint="eastAsia" w:ascii="Times New Roman" w:hAnsi="Times New Roman" w:cs="Times New Roman"/>
          <w:sz w:val="24"/>
          <w:szCs w:val="24"/>
          <w:highlight w:val="none"/>
          <w:lang w:eastAsia="zh-CN"/>
        </w:rPr>
        <w:t>。</w:t>
      </w:r>
    </w:p>
    <w:p w14:paraId="22E19C70">
      <w:pPr>
        <w:keepNext w:val="0"/>
        <w:keepLines w:val="0"/>
        <w:pageBreakBefore w:val="0"/>
        <w:widowControl/>
        <w:numPr>
          <w:ilvl w:val="0"/>
          <w:numId w:val="0"/>
        </w:numPr>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lang w:eastAsia="zh-CN"/>
        </w:rPr>
      </w:pPr>
    </w:p>
    <w:p w14:paraId="5C1BD83D">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48" w:name="_Toc22592"/>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6.4　浇筑</w:t>
      </w:r>
      <w:bookmarkEnd w:id="48"/>
    </w:p>
    <w:p w14:paraId="74126E89">
      <w:pPr>
        <w:keepNext w:val="0"/>
        <w:keepLines w:val="0"/>
        <w:pageBreakBefore w:val="0"/>
        <w:widowControl/>
        <w:numPr>
          <w:ilvl w:val="0"/>
          <w:numId w:val="14"/>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混凝土运送到施工现场时，实测坍落度与要求坍落度之间的允许偏差应符合</w:t>
      </w:r>
      <w:r>
        <w:rPr>
          <w:rFonts w:hint="eastAsia" w:ascii="Times New Roman" w:hAnsi="Times New Roman" w:cs="Times New Roman"/>
          <w:sz w:val="24"/>
          <w:szCs w:val="24"/>
          <w:highlight w:val="none"/>
          <w:lang w:val="en-US" w:eastAsia="zh-CN"/>
        </w:rPr>
        <w:t>现行国家标准</w:t>
      </w:r>
      <w:r>
        <w:rPr>
          <w:rFonts w:hint="default" w:ascii="Times New Roman" w:hAnsi="Times New Roman" w:cs="Times New Roman" w:eastAsiaTheme="minorEastAsia"/>
          <w:b w:val="0"/>
          <w:bCs w:val="0"/>
          <w:sz w:val="24"/>
          <w:szCs w:val="24"/>
          <w:highlight w:val="none"/>
        </w:rPr>
        <w:t>《预拌混凝土》GB/T 14902</w:t>
      </w:r>
      <w:r>
        <w:rPr>
          <w:rFonts w:hint="default" w:ascii="Times New Roman" w:hAnsi="Times New Roman" w:cs="Times New Roman" w:eastAsiaTheme="minorEastAsia"/>
          <w:sz w:val="24"/>
          <w:szCs w:val="24"/>
          <w:highlight w:val="none"/>
        </w:rPr>
        <w:t>的规定。</w:t>
      </w:r>
    </w:p>
    <w:p w14:paraId="14C98CF1">
      <w:pPr>
        <w:keepNext w:val="0"/>
        <w:keepLines w:val="0"/>
        <w:pageBreakBefore w:val="0"/>
        <w:widowControl/>
        <w:numPr>
          <w:ilvl w:val="0"/>
          <w:numId w:val="14"/>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夏季施工时，混凝土拌合物入模温度不应超过35</w:t>
      </w:r>
      <w:r>
        <w:rPr>
          <w:rFonts w:hint="default" w:ascii="Times New Roman" w:hAnsi="Times New Roman" w:cs="Times New Roman" w:eastAsiaTheme="minorEastAsia"/>
          <w:sz w:val="24"/>
          <w:szCs w:val="24"/>
          <w:highlight w:val="none"/>
          <w:lang w:eastAsia="zh-Hans"/>
        </w:rPr>
        <w:t>°C</w:t>
      </w:r>
      <w:r>
        <w:rPr>
          <w:rFonts w:hint="default" w:ascii="Times New Roman" w:hAnsi="Times New Roman" w:cs="Times New Roman" w:eastAsiaTheme="minorEastAsia"/>
          <w:sz w:val="24"/>
          <w:szCs w:val="24"/>
          <w:highlight w:val="none"/>
        </w:rPr>
        <w:t>，大体积混凝土拌合物入模温度不宜超过30</w:t>
      </w:r>
      <w:r>
        <w:rPr>
          <w:rFonts w:hint="default" w:ascii="Times New Roman" w:hAnsi="Times New Roman" w:cs="Times New Roman" w:eastAsiaTheme="minorEastAsia"/>
          <w:sz w:val="24"/>
          <w:szCs w:val="24"/>
          <w:highlight w:val="none"/>
          <w:lang w:eastAsia="zh-Hans"/>
        </w:rPr>
        <w:t>°C</w:t>
      </w:r>
      <w:r>
        <w:rPr>
          <w:rFonts w:hint="default" w:ascii="Times New Roman" w:hAnsi="Times New Roman" w:cs="Times New Roman" w:eastAsiaTheme="minorEastAsia"/>
          <w:sz w:val="24"/>
          <w:szCs w:val="24"/>
          <w:highlight w:val="none"/>
        </w:rPr>
        <w:t>；施工现场环境温度高于35</w:t>
      </w:r>
      <w:r>
        <w:rPr>
          <w:rFonts w:hint="default" w:ascii="Times New Roman" w:hAnsi="Times New Roman" w:cs="Times New Roman" w:eastAsiaTheme="minorEastAsia"/>
          <w:sz w:val="24"/>
          <w:szCs w:val="24"/>
          <w:highlight w:val="none"/>
          <w:lang w:eastAsia="zh-Hans"/>
        </w:rPr>
        <w:t>°C</w:t>
      </w:r>
      <w:r>
        <w:rPr>
          <w:rFonts w:hint="default" w:ascii="Times New Roman" w:hAnsi="Times New Roman" w:cs="Times New Roman" w:eastAsiaTheme="minorEastAsia"/>
          <w:sz w:val="24"/>
          <w:szCs w:val="24"/>
          <w:highlight w:val="none"/>
        </w:rPr>
        <w:t>时，应采取遮阳和降温措施或避开高温时段浇筑混凝土。</w:t>
      </w:r>
    </w:p>
    <w:p w14:paraId="3F6EFD42">
      <w:pPr>
        <w:keepNext w:val="0"/>
        <w:keepLines w:val="0"/>
        <w:pageBreakBefore w:val="0"/>
        <w:widowControl/>
        <w:numPr>
          <w:ilvl w:val="0"/>
          <w:numId w:val="14"/>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冬期施工时，应符合现行行业标准《建筑工程冬期施工规程》JGJ/T 104的有关规定。</w:t>
      </w:r>
    </w:p>
    <w:p w14:paraId="5AFD5733">
      <w:pPr>
        <w:keepNext w:val="0"/>
        <w:keepLines w:val="0"/>
        <w:pageBreakBefore w:val="0"/>
        <w:widowControl/>
        <w:numPr>
          <w:ilvl w:val="0"/>
          <w:numId w:val="14"/>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混凝土浇筑时应避免漏振或过振。振捣后的混凝土表面不应出现明显的浮浆层。</w:t>
      </w:r>
    </w:p>
    <w:p w14:paraId="0F1D0F87">
      <w:pPr>
        <w:keepNext w:val="0"/>
        <w:keepLines w:val="0"/>
        <w:pageBreakBefore w:val="0"/>
        <w:widowControl/>
        <w:numPr>
          <w:ilvl w:val="0"/>
          <w:numId w:val="14"/>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混凝土在初凝前和终凝前，宜分别对混凝土裸露表面进行抹面处理。</w:t>
      </w:r>
    </w:p>
    <w:p w14:paraId="74E48174">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49" w:name="_Toc27382"/>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6.5　养护</w:t>
      </w:r>
      <w:bookmarkEnd w:id="49"/>
    </w:p>
    <w:p w14:paraId="051D0D19">
      <w:pPr>
        <w:keepNext w:val="0"/>
        <w:keepLines w:val="0"/>
        <w:pageBreakBefore w:val="0"/>
        <w:widowControl/>
        <w:numPr>
          <w:ilvl w:val="0"/>
          <w:numId w:val="1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混凝土的养护应符合现行国家标准《混凝土质量控制标准》GB 50164和《混凝土结构工程施工规范》GB 50666的有关规定。掺花岗岩石粉的大体积混凝土的养护应符合现行国家标准《大体积混凝土施工标准》GB 50496的有关规定。</w:t>
      </w:r>
    </w:p>
    <w:p w14:paraId="54BFF3B4">
      <w:pPr>
        <w:keepNext w:val="0"/>
        <w:keepLines w:val="0"/>
        <w:pageBreakBefore w:val="0"/>
        <w:widowControl/>
        <w:numPr>
          <w:ilvl w:val="0"/>
          <w:numId w:val="1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混凝土浇筑后，应立即进行保湿养护。保湿养护可采用洒水、覆盖薄膜、喷涂养护剂等方式。养护方式应根据现场条件、环境温湿度、构件特点、技术要求、施工操作等因素确定。</w:t>
      </w:r>
    </w:p>
    <w:p w14:paraId="33251B49">
      <w:pPr>
        <w:keepNext w:val="0"/>
        <w:keepLines w:val="0"/>
        <w:pageBreakBefore w:val="0"/>
        <w:widowControl/>
        <w:numPr>
          <w:ilvl w:val="0"/>
          <w:numId w:val="1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掺花岗岩石粉的混凝土宜适当延长养护时间，养护时间不应少于14d。</w:t>
      </w:r>
    </w:p>
    <w:p w14:paraId="1A88E4CD">
      <w:pPr>
        <w:pStyle w:val="48"/>
        <w:numPr>
          <w:ilvl w:val="0"/>
          <w:numId w:val="0"/>
        </w:numPr>
        <w:tabs>
          <w:tab w:val="clear" w:pos="0"/>
        </w:tabs>
        <w:spacing w:before="312" w:after="312"/>
        <w:ind w:left="0" w:leftChars="0" w:firstLine="0" w:firstLineChars="0"/>
        <w:jc w:val="center"/>
        <w:outlineLvl w:val="9"/>
        <w:rPr>
          <w:rFonts w:hint="eastAsia" w:ascii="Times New Roman" w:hAnsi="Times New Roman" w:cs="Times New Roman"/>
          <w:b w:val="0"/>
          <w:i w:val="0"/>
          <w:sz w:val="32"/>
          <w:szCs w:val="32"/>
          <w:highlight w:val="none"/>
          <w:lang w:val="en-US" w:eastAsia="zh-CN" w:bidi="ar-SA"/>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bookmarkStart w:id="50" w:name="_Toc24375"/>
      <w:bookmarkStart w:id="51" w:name="_Toc28303"/>
      <w:bookmarkStart w:id="52" w:name="_Toc8903"/>
    </w:p>
    <w:p w14:paraId="029C412F">
      <w:pPr>
        <w:pStyle w:val="48"/>
        <w:keepNext w:val="0"/>
        <w:keepLines w:val="0"/>
        <w:pageBreakBefore w:val="0"/>
        <w:widowControl/>
        <w:numPr>
          <w:ilvl w:val="0"/>
          <w:numId w:val="0"/>
        </w:numPr>
        <w:tabs>
          <w:tab w:val="clear" w:pos="0"/>
        </w:tabs>
        <w:kinsoku/>
        <w:wordWrap/>
        <w:overflowPunct/>
        <w:topLinePunct w:val="0"/>
        <w:autoSpaceDE/>
        <w:autoSpaceDN/>
        <w:bidi w:val="0"/>
        <w:adjustRightInd/>
        <w:snapToGrid/>
        <w:spacing w:before="312" w:after="312"/>
        <w:ind w:left="0" w:leftChars="0" w:firstLine="0" w:firstLineChars="0"/>
        <w:jc w:val="center"/>
        <w:textAlignment w:val="auto"/>
        <w:outlineLvl w:val="0"/>
        <w:rPr>
          <w:rFonts w:hint="eastAsia" w:ascii="Times New Roman" w:hAnsi="Times New Roman" w:eastAsia="黑体" w:cs="Times New Roman"/>
          <w:b w:val="0"/>
          <w:i w:val="0"/>
          <w:sz w:val="32"/>
          <w:szCs w:val="32"/>
          <w:highlight w:val="none"/>
          <w:lang w:val="en-US" w:eastAsia="zh-CN" w:bidi="ar-SA"/>
        </w:rPr>
      </w:pPr>
      <w:bookmarkStart w:id="53" w:name="_Toc3826"/>
      <w:r>
        <w:rPr>
          <w:rFonts w:hint="eastAsia" w:ascii="Times New Roman" w:hAnsi="Times New Roman" w:eastAsia="黑体" w:cs="Times New Roman"/>
          <w:b w:val="0"/>
          <w:i w:val="0"/>
          <w:sz w:val="32"/>
          <w:szCs w:val="32"/>
          <w:highlight w:val="none"/>
          <w:lang w:val="en-US" w:eastAsia="zh-CN" w:bidi="ar-SA"/>
        </w:rPr>
        <w:t>7  质量</w:t>
      </w:r>
      <w:bookmarkEnd w:id="50"/>
      <w:bookmarkEnd w:id="51"/>
      <w:bookmarkEnd w:id="52"/>
      <w:r>
        <w:rPr>
          <w:rFonts w:hint="eastAsia" w:ascii="Times New Roman" w:hAnsi="Times New Roman" w:eastAsia="黑体" w:cs="Times New Roman"/>
          <w:b w:val="0"/>
          <w:i w:val="0"/>
          <w:sz w:val="32"/>
          <w:szCs w:val="32"/>
          <w:highlight w:val="none"/>
          <w:lang w:val="en-US" w:eastAsia="zh-CN" w:bidi="ar-SA"/>
        </w:rPr>
        <w:t>检验</w:t>
      </w:r>
      <w:bookmarkEnd w:id="53"/>
    </w:p>
    <w:p w14:paraId="3EEAC390">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54" w:name="_Toc2330"/>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7.1　原材料质量检验</w:t>
      </w:r>
      <w:bookmarkEnd w:id="54"/>
    </w:p>
    <w:p w14:paraId="052C3CDC">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混凝土原材料进场时，应按规定划分的检验批验收出厂检验报告或合格证等质量证明文件，外加剂产品还应具有使用说明书。</w:t>
      </w:r>
    </w:p>
    <w:p w14:paraId="05391336">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bookmarkStart w:id="55" w:name="_Toc243285268"/>
      <w:bookmarkStart w:id="56" w:name="_Toc15053076"/>
      <w:bookmarkStart w:id="57" w:name="_Toc514685662"/>
      <w:bookmarkStart w:id="58" w:name="_Toc23260863"/>
      <w:r>
        <w:rPr>
          <w:rFonts w:hint="default" w:ascii="Times New Roman" w:hAnsi="Times New Roman" w:cs="Times New Roman" w:eastAsiaTheme="minorEastAsia"/>
          <w:b w:val="0"/>
          <w:bCs w:val="0"/>
          <w:sz w:val="24"/>
          <w:szCs w:val="24"/>
          <w:highlight w:val="none"/>
        </w:rPr>
        <w:t>混凝土原材料进场时应对材料的外观、规格、等级、生产日期等进行检查，并应按检验批随机抽取样品进行检验，每个检验批检验不得少于1次。</w:t>
      </w:r>
      <w:bookmarkEnd w:id="55"/>
      <w:bookmarkEnd w:id="56"/>
      <w:bookmarkEnd w:id="57"/>
      <w:bookmarkEnd w:id="58"/>
    </w:p>
    <w:p w14:paraId="25262578">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lang w:val="en-US" w:eastAsia="zh-CN"/>
        </w:rPr>
      </w:pPr>
      <w:r>
        <w:rPr>
          <w:rFonts w:hint="default" w:ascii="Times New Roman" w:hAnsi="Times New Roman" w:cs="Times New Roman" w:eastAsiaTheme="minorEastAsia"/>
          <w:b w:val="0"/>
          <w:bCs w:val="0"/>
          <w:sz w:val="24"/>
          <w:szCs w:val="24"/>
          <w:highlight w:val="none"/>
        </w:rPr>
        <w:t>花岗岩石粉的进场检验项目应包括细度、流动度比、抗压强度比、含水量和</w:t>
      </w:r>
      <w:bookmarkStart w:id="59" w:name="_Toc23260865"/>
      <w:bookmarkStart w:id="60" w:name="_Toc514685664"/>
      <w:bookmarkStart w:id="61" w:name="_Toc15053078"/>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MB</w:t>
      </w:r>
      <w:r>
        <w:rPr>
          <w:rFonts w:hint="eastAsia" w:ascii="Times New Roman" w:hAnsi="Times New Roman" w:eastAsia="宋体" w:cs="宋体"/>
          <w:color w:val="000000" w:themeColor="text1"/>
          <w:sz w:val="21"/>
          <w:szCs w:val="21"/>
          <w:highlight w:val="none"/>
          <w:vertAlign w:val="subscript"/>
          <w:lang w:val="en-US" w:eastAsia="zh-CN"/>
          <w14:textFill>
            <w14:solidFill>
              <w14:schemeClr w14:val="tx1"/>
            </w14:solidFill>
          </w14:textFill>
        </w:rPr>
        <w:t>F</w:t>
      </w:r>
      <w:r>
        <w:rPr>
          <w:rFonts w:hint="eastAsia" w:ascii="Times New Roman" w:hAnsi="Times New Roman" w:eastAsia="宋体" w:cs="宋体"/>
          <w:color w:val="000000" w:themeColor="text1"/>
          <w:sz w:val="21"/>
          <w:szCs w:val="21"/>
          <w:highlight w:val="none"/>
          <w:lang w:val="en-US" w:eastAsia="zh-CN"/>
          <w14:textFill>
            <w14:solidFill>
              <w14:schemeClr w14:val="tx1"/>
            </w14:solidFill>
          </w14:textFill>
        </w:rPr>
        <w:t>值。</w:t>
      </w:r>
    </w:p>
    <w:bookmarkEnd w:id="59"/>
    <w:bookmarkEnd w:id="60"/>
    <w:bookmarkEnd w:id="61"/>
    <w:p w14:paraId="3F32B495">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花岗岩石粉应以每200t为一个检验批，每个批次的花岗岩石粉应来自同一产地、同一厂家、同一类别；供应不足200t时，应以实际供应数量作为一个检验批。</w:t>
      </w:r>
    </w:p>
    <w:p w14:paraId="67F1598F">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r>
        <w:rPr>
          <w:rFonts w:hint="default" w:ascii="Times New Roman" w:hAnsi="Times New Roman" w:cs="Times New Roman" w:eastAsiaTheme="minorEastAsia"/>
          <w:b w:val="0"/>
          <w:bCs w:val="0"/>
          <w:sz w:val="24"/>
          <w:szCs w:val="24"/>
          <w:highlight w:val="none"/>
        </w:rPr>
        <w:t>花岗岩石粉取样应按现行国家标准《水泥取样方法》GB/T 12573执行，取样应有代表性，可连续取样，也可在20个以上不同部位取等量样品，总量不应少于12kg。样品应混合均匀后缩分出3kg石粉样品，进行试验。</w:t>
      </w:r>
    </w:p>
    <w:p w14:paraId="323B1EA6">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sz w:val="24"/>
          <w:szCs w:val="24"/>
          <w:highlight w:val="none"/>
        </w:rPr>
      </w:pPr>
      <w:bookmarkStart w:id="62" w:name="_Toc514685666"/>
      <w:bookmarkStart w:id="63" w:name="_Toc23260867"/>
      <w:bookmarkStart w:id="64" w:name="_Toc15053080"/>
      <w:r>
        <w:rPr>
          <w:rFonts w:hint="default" w:ascii="Times New Roman" w:hAnsi="Times New Roman" w:cs="Times New Roman" w:eastAsiaTheme="minorEastAsia"/>
          <w:b w:val="0"/>
          <w:bCs w:val="0"/>
          <w:sz w:val="24"/>
          <w:szCs w:val="24"/>
          <w:highlight w:val="none"/>
        </w:rPr>
        <w:t>花岗岩石粉检验项目的检验结果均符合技术要求的为合格品，检验结果有两个项目不符合技术要求的为不合格品，有一个项目不符合技术要求时应加倍取样，对不合格的项目进行复检，评定时以复检结果为准。</w:t>
      </w:r>
      <w:bookmarkEnd w:id="62"/>
      <w:bookmarkEnd w:id="63"/>
      <w:bookmarkEnd w:id="64"/>
    </w:p>
    <w:p w14:paraId="1C937149">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val="0"/>
          <w:color w:val="auto"/>
          <w:sz w:val="24"/>
          <w:szCs w:val="24"/>
          <w:highlight w:val="none"/>
        </w:rPr>
      </w:pPr>
      <w:r>
        <w:rPr>
          <w:rFonts w:hint="default" w:ascii="Times New Roman" w:hAnsi="Times New Roman" w:cs="Times New Roman" w:eastAsiaTheme="minorEastAsia"/>
          <w:b w:val="0"/>
          <w:bCs w:val="0"/>
          <w:sz w:val="24"/>
          <w:szCs w:val="24"/>
          <w:highlight w:val="none"/>
        </w:rPr>
        <w:t>花岗岩石粉存储期超过6个月时，使用前应按本</w:t>
      </w:r>
      <w:r>
        <w:rPr>
          <w:rFonts w:hint="eastAsia" w:ascii="Times New Roman" w:hAnsi="Times New Roman" w:cs="Times New Roman"/>
          <w:b w:val="0"/>
          <w:bCs w:val="0"/>
          <w:sz w:val="24"/>
          <w:szCs w:val="24"/>
          <w:highlight w:val="none"/>
          <w:lang w:eastAsia="zh-CN"/>
        </w:rPr>
        <w:t>规范</w:t>
      </w:r>
      <w:r>
        <w:rPr>
          <w:rFonts w:hint="default" w:ascii="Times New Roman" w:hAnsi="Times New Roman" w:cs="Times New Roman" w:eastAsiaTheme="minorEastAsia"/>
          <w:b w:val="0"/>
          <w:bCs w:val="0"/>
          <w:sz w:val="24"/>
          <w:szCs w:val="24"/>
          <w:highlight w:val="none"/>
        </w:rPr>
        <w:t>规定的批次进行复验，复验项目应包括含水量、流动度比和抗压强度比，复验结果应满足本</w:t>
      </w:r>
      <w:r>
        <w:rPr>
          <w:rFonts w:hint="eastAsia" w:ascii="Times New Roman" w:hAnsi="Times New Roman" w:cs="Times New Roman"/>
          <w:b w:val="0"/>
          <w:bCs w:val="0"/>
          <w:sz w:val="24"/>
          <w:szCs w:val="24"/>
          <w:highlight w:val="none"/>
          <w:lang w:eastAsia="zh-CN"/>
        </w:rPr>
        <w:t>规</w:t>
      </w:r>
      <w:r>
        <w:rPr>
          <w:rFonts w:hint="eastAsia" w:ascii="Times New Roman" w:hAnsi="Times New Roman" w:cs="Times New Roman"/>
          <w:b w:val="0"/>
          <w:bCs w:val="0"/>
          <w:color w:val="auto"/>
          <w:sz w:val="24"/>
          <w:szCs w:val="24"/>
          <w:highlight w:val="none"/>
          <w:lang w:eastAsia="zh-CN"/>
        </w:rPr>
        <w:t>范</w:t>
      </w:r>
      <w:r>
        <w:rPr>
          <w:rFonts w:hint="default" w:ascii="Times New Roman" w:hAnsi="Times New Roman" w:cs="Times New Roman" w:eastAsiaTheme="minorEastAsia"/>
          <w:b w:val="0"/>
          <w:bCs w:val="0"/>
          <w:color w:val="auto"/>
          <w:sz w:val="24"/>
          <w:szCs w:val="24"/>
          <w:highlight w:val="none"/>
        </w:rPr>
        <w:t>第</w:t>
      </w:r>
      <w:r>
        <w:rPr>
          <w:rFonts w:hint="eastAsia" w:ascii="Times New Roman" w:hAnsi="Times New Roman" w:cs="Times New Roman"/>
          <w:b w:val="0"/>
          <w:bCs w:val="0"/>
          <w:color w:val="auto"/>
          <w:sz w:val="24"/>
          <w:szCs w:val="24"/>
          <w:highlight w:val="none"/>
          <w:lang w:val="en-US" w:eastAsia="zh-CN"/>
        </w:rPr>
        <w:t>3.1.2</w:t>
      </w:r>
      <w:r>
        <w:rPr>
          <w:rFonts w:hint="default" w:ascii="Times New Roman" w:hAnsi="Times New Roman" w:cs="Times New Roman" w:eastAsiaTheme="minorEastAsia"/>
          <w:b w:val="0"/>
          <w:bCs w:val="0"/>
          <w:color w:val="auto"/>
          <w:sz w:val="24"/>
          <w:szCs w:val="24"/>
          <w:highlight w:val="none"/>
        </w:rPr>
        <w:t>节的规定后方可使用。</w:t>
      </w:r>
    </w:p>
    <w:p w14:paraId="672BD03A">
      <w:pPr>
        <w:keepNext w:val="0"/>
        <w:keepLines w:val="0"/>
        <w:pageBreakBefore w:val="0"/>
        <w:widowControl/>
        <w:numPr>
          <w:ilvl w:val="0"/>
          <w:numId w:val="16"/>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Cs/>
          <w:color w:val="FF0000"/>
          <w:sz w:val="24"/>
          <w:szCs w:val="24"/>
          <w:highlight w:val="none"/>
        </w:rPr>
      </w:pPr>
      <w:r>
        <w:rPr>
          <w:rFonts w:hint="default" w:ascii="Times New Roman" w:hAnsi="Times New Roman" w:cs="Times New Roman" w:eastAsiaTheme="minorEastAsia"/>
          <w:b w:val="0"/>
          <w:bCs w:val="0"/>
          <w:sz w:val="24"/>
          <w:szCs w:val="24"/>
          <w:highlight w:val="none"/>
        </w:rPr>
        <w:t>其他混凝土原材料的检验项目和检验规则应符合现行国家标准《混凝土质量控制标准》GB 50164的有关规定。</w:t>
      </w:r>
    </w:p>
    <w:p w14:paraId="1A7D5E62">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65" w:name="_Toc14589"/>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7.2</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xml:space="preserve">  混凝土拌合物性能检验</w:t>
      </w:r>
      <w:bookmarkEnd w:id="65"/>
    </w:p>
    <w:p w14:paraId="44DCE1D3">
      <w:pPr>
        <w:keepNext w:val="0"/>
        <w:keepLines w:val="0"/>
        <w:pageBreakBefore w:val="0"/>
        <w:widowControl/>
        <w:numPr>
          <w:ilvl w:val="0"/>
          <w:numId w:val="17"/>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在生产和施工过程中，应在搅拌地点和浇筑地点分别对混凝土拌合物进行抽样检验。</w:t>
      </w:r>
    </w:p>
    <w:p w14:paraId="3EF89107">
      <w:pPr>
        <w:keepNext w:val="0"/>
        <w:keepLines w:val="0"/>
        <w:pageBreakBefore w:val="0"/>
        <w:widowControl/>
        <w:numPr>
          <w:ilvl w:val="0"/>
          <w:numId w:val="17"/>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混凝土拌合物的检验频率应符合现行国家标准《混凝土结构工程施工质量验收规范》GB 50204的有关规定。</w:t>
      </w:r>
    </w:p>
    <w:p w14:paraId="0B787E85">
      <w:pPr>
        <w:keepNext w:val="0"/>
        <w:keepLines w:val="0"/>
        <w:pageBreakBefore w:val="0"/>
        <w:widowControl/>
        <w:numPr>
          <w:ilvl w:val="0"/>
          <w:numId w:val="17"/>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掺</w:t>
      </w:r>
      <w:r>
        <w:rPr>
          <w:rFonts w:hint="eastAsia" w:ascii="Times New Roman" w:hAnsi="Times New Roman" w:cs="Times New Roman"/>
          <w:sz w:val="24"/>
          <w:szCs w:val="24"/>
          <w:highlight w:val="none"/>
          <w:lang w:val="en-US" w:eastAsia="zh-CN"/>
        </w:rPr>
        <w:t>花岗岩石粉</w:t>
      </w:r>
      <w:r>
        <w:rPr>
          <w:rFonts w:hint="default" w:ascii="Times New Roman" w:hAnsi="Times New Roman" w:cs="Times New Roman" w:eastAsiaTheme="minorEastAsia"/>
          <w:sz w:val="24"/>
          <w:szCs w:val="24"/>
          <w:highlight w:val="none"/>
        </w:rPr>
        <w:t>的混凝土拌合物性能应符合本</w:t>
      </w:r>
      <w:r>
        <w:rPr>
          <w:rFonts w:hint="eastAsia" w:ascii="Times New Roman" w:hAnsi="Times New Roman" w:cs="Times New Roman"/>
          <w:sz w:val="24"/>
          <w:szCs w:val="24"/>
          <w:highlight w:val="none"/>
          <w:lang w:eastAsia="zh-CN"/>
        </w:rPr>
        <w:t>规范</w:t>
      </w:r>
      <w:r>
        <w:rPr>
          <w:rFonts w:hint="default" w:ascii="Times New Roman" w:hAnsi="Times New Roman" w:cs="Times New Roman" w:eastAsiaTheme="minorEastAsia"/>
          <w:sz w:val="24"/>
          <w:szCs w:val="24"/>
          <w:highlight w:val="none"/>
        </w:rPr>
        <w:t>第</w:t>
      </w:r>
      <w:r>
        <w:rPr>
          <w:rFonts w:hint="default" w:ascii="Times New Roman" w:hAnsi="Times New Roman" w:cs="Times New Roman" w:eastAsiaTheme="minorEastAsia"/>
          <w:sz w:val="24"/>
          <w:szCs w:val="24"/>
          <w:highlight w:val="none"/>
          <w:lang w:val="en-US" w:eastAsia="zh-CN"/>
        </w:rPr>
        <w:t>4.1</w:t>
      </w:r>
      <w:r>
        <w:rPr>
          <w:rFonts w:hint="default" w:ascii="Times New Roman" w:hAnsi="Times New Roman" w:cs="Times New Roman" w:eastAsiaTheme="minorEastAsia"/>
          <w:sz w:val="24"/>
          <w:szCs w:val="24"/>
          <w:highlight w:val="none"/>
        </w:rPr>
        <w:t>节的规定。</w:t>
      </w:r>
    </w:p>
    <w:p w14:paraId="13B55B61">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66" w:name="_Toc7220"/>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7.3</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硬化混凝土性能检验</w:t>
      </w:r>
      <w:bookmarkEnd w:id="66"/>
    </w:p>
    <w:p w14:paraId="6CEEDC8A">
      <w:pPr>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sz w:val="24"/>
          <w:szCs w:val="24"/>
          <w:highlight w:val="none"/>
        </w:rPr>
      </w:pPr>
      <w:r>
        <w:rPr>
          <w:rFonts w:hint="default" w:ascii="Times New Roman" w:hAnsi="Times New Roman" w:cs="Times New Roman" w:eastAsiaTheme="minorEastAsia"/>
          <w:b w:val="0"/>
          <w:bCs/>
          <w:sz w:val="24"/>
          <w:szCs w:val="24"/>
          <w:highlight w:val="none"/>
        </w:rPr>
        <w:t>掺花岗岩石粉的混凝土强度检验评定应符合现行国家标准《混凝土强度检验评定标准》GB/T 50107的有关规定，其他力学性能检验应满足设计要求</w:t>
      </w:r>
      <w:r>
        <w:rPr>
          <w:rFonts w:hint="eastAsia" w:ascii="Times New Roman" w:hAnsi="Times New Roman" w:cs="Times New Roman"/>
          <w:b w:val="0"/>
          <w:bCs/>
          <w:sz w:val="24"/>
          <w:szCs w:val="24"/>
          <w:highlight w:val="none"/>
          <w:lang w:val="en-US" w:eastAsia="zh-CN"/>
        </w:rPr>
        <w:t>和国家现行有关标准规定</w:t>
      </w:r>
      <w:r>
        <w:rPr>
          <w:rFonts w:hint="default" w:ascii="Times New Roman" w:hAnsi="Times New Roman" w:cs="Times New Roman" w:eastAsiaTheme="minorEastAsia"/>
          <w:b w:val="0"/>
          <w:bCs/>
          <w:sz w:val="24"/>
          <w:szCs w:val="24"/>
          <w:highlight w:val="none"/>
        </w:rPr>
        <w:t>。</w:t>
      </w:r>
    </w:p>
    <w:p w14:paraId="353BA745">
      <w:pPr>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sz w:val="24"/>
          <w:szCs w:val="24"/>
          <w:highlight w:val="none"/>
        </w:rPr>
      </w:pPr>
      <w:bookmarkStart w:id="67" w:name="_Toc23260871"/>
      <w:bookmarkStart w:id="68" w:name="_Toc15053084"/>
      <w:bookmarkStart w:id="69" w:name="_Toc243285292"/>
      <w:bookmarkStart w:id="70" w:name="_Toc514685670"/>
      <w:r>
        <w:rPr>
          <w:rFonts w:hint="default" w:ascii="Times New Roman" w:hAnsi="Times New Roman" w:cs="Times New Roman" w:eastAsiaTheme="minorEastAsia"/>
          <w:b w:val="0"/>
          <w:bCs/>
          <w:sz w:val="24"/>
          <w:szCs w:val="24"/>
          <w:highlight w:val="none"/>
        </w:rPr>
        <w:t>掺花岗岩石粉的混凝土耐久性能检验评定</w:t>
      </w:r>
      <w:r>
        <w:rPr>
          <w:rFonts w:hint="eastAsia" w:ascii="Times New Roman" w:hAnsi="Times New Roman" w:cs="Times New Roman"/>
          <w:b w:val="0"/>
          <w:bCs/>
          <w:sz w:val="24"/>
          <w:szCs w:val="24"/>
          <w:highlight w:val="none"/>
          <w:lang w:eastAsia="zh-CN"/>
        </w:rPr>
        <w:t>，</w:t>
      </w:r>
      <w:r>
        <w:rPr>
          <w:rFonts w:hint="default" w:ascii="Times New Roman" w:hAnsi="Times New Roman" w:cs="Times New Roman" w:eastAsiaTheme="minorEastAsia"/>
          <w:b w:val="0"/>
          <w:bCs/>
          <w:sz w:val="24"/>
          <w:szCs w:val="24"/>
          <w:highlight w:val="none"/>
        </w:rPr>
        <w:t>应符合现行行业标准《混凝土耐久性检验评定标准》JGJ/T 193的规定。</w:t>
      </w:r>
      <w:bookmarkEnd w:id="67"/>
      <w:bookmarkEnd w:id="68"/>
      <w:bookmarkEnd w:id="69"/>
      <w:bookmarkEnd w:id="70"/>
    </w:p>
    <w:p w14:paraId="70241379">
      <w:pPr>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cs="Times New Roman" w:eastAsiaTheme="minorEastAsia"/>
          <w:b w:val="0"/>
          <w:bCs/>
          <w:sz w:val="24"/>
          <w:szCs w:val="24"/>
          <w:highlight w:val="none"/>
        </w:rPr>
      </w:pPr>
      <w:r>
        <w:rPr>
          <w:rFonts w:hint="default" w:ascii="Times New Roman" w:hAnsi="Times New Roman" w:cs="Times New Roman" w:eastAsiaTheme="minorEastAsia"/>
          <w:b w:val="0"/>
          <w:bCs/>
          <w:sz w:val="24"/>
          <w:szCs w:val="24"/>
          <w:highlight w:val="none"/>
        </w:rPr>
        <w:t>掺花岗岩石粉的混凝土长期性能检验规则，可按现行行业标准《混凝土耐久性检验评定标准》JGJ/T 193中耐久性检验的</w:t>
      </w:r>
      <w:r>
        <w:rPr>
          <w:rFonts w:hint="eastAsia" w:ascii="Times New Roman" w:hAnsi="Times New Roman" w:cs="Times New Roman"/>
          <w:b w:val="0"/>
          <w:bCs/>
          <w:sz w:val="24"/>
          <w:szCs w:val="24"/>
          <w:highlight w:val="none"/>
          <w:lang w:val="en-US" w:eastAsia="zh-CN"/>
        </w:rPr>
        <w:t>有关</w:t>
      </w:r>
      <w:r>
        <w:rPr>
          <w:rFonts w:hint="default" w:ascii="Times New Roman" w:hAnsi="Times New Roman" w:cs="Times New Roman" w:eastAsiaTheme="minorEastAsia"/>
          <w:b w:val="0"/>
          <w:bCs/>
          <w:sz w:val="24"/>
          <w:szCs w:val="24"/>
          <w:highlight w:val="none"/>
        </w:rPr>
        <w:t>规定执行。</w:t>
      </w:r>
    </w:p>
    <w:bookmarkEnd w:id="25"/>
    <w:p w14:paraId="0197A7C1">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textAlignment w:val="auto"/>
        <w:rPr>
          <w:rFonts w:hint="default" w:ascii="Times New Roman" w:hAnsi="Times New Roman" w:cs="Times New Roman" w:eastAsiaTheme="minorEastAsia"/>
          <w:bCs/>
          <w:color w:val="000000"/>
          <w:sz w:val="24"/>
          <w:szCs w:val="24"/>
          <w:highlight w:val="none"/>
          <w:lang w:val="en-US" w:eastAsia="zh-CN"/>
        </w:rPr>
      </w:pPr>
      <w:r>
        <w:rPr>
          <w:rFonts w:hint="default" w:ascii="Times New Roman" w:hAnsi="Times New Roman" w:cs="Times New Roman" w:eastAsiaTheme="minorEastAsia"/>
          <w:bCs/>
          <w:color w:val="000000"/>
          <w:sz w:val="24"/>
          <w:szCs w:val="24"/>
          <w:highlight w:val="none"/>
          <w:lang w:val="en-US" w:eastAsia="zh-CN"/>
        </w:rPr>
        <w:t>......</w:t>
      </w:r>
    </w:p>
    <w:p w14:paraId="2C08C45E">
      <w:pPr>
        <w:ind w:firstLine="420" w:firstLineChars="200"/>
        <w:rPr>
          <w:rFonts w:ascii="Times New Roman" w:hAnsi="Times New Roman"/>
          <w:bCs/>
          <w:color w:val="000000"/>
          <w:szCs w:val="21"/>
          <w:highlight w:val="none"/>
        </w:rPr>
      </w:pPr>
    </w:p>
    <w:p w14:paraId="7786C7BC">
      <w:pPr>
        <w:ind w:left="0" w:leftChars="0" w:firstLine="0" w:firstLineChars="0"/>
        <w:rPr>
          <w:rFonts w:ascii="Times New Roman" w:hAnsi="Times New Roman"/>
          <w:highlight w:val="none"/>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14:paraId="3BB7B336">
      <w:pPr>
        <w:pStyle w:val="84"/>
        <w:keepNext w:val="0"/>
        <w:keepLines w:val="0"/>
        <w:pageBreakBefore w:val="0"/>
        <w:widowControl/>
        <w:numPr>
          <w:ilvl w:val="0"/>
          <w:numId w:val="0"/>
        </w:numPr>
        <w:shd w:val="clear" w:color="FFFFFF" w:fill="FFFFFF"/>
        <w:kinsoku/>
        <w:wordWrap/>
        <w:overflowPunct/>
        <w:topLinePunct w:val="0"/>
        <w:autoSpaceDE/>
        <w:autoSpaceDN/>
        <w:bidi w:val="0"/>
        <w:adjustRightInd w:val="0"/>
        <w:snapToGrid/>
        <w:ind w:left="0" w:leftChars="0" w:firstLine="0" w:firstLineChars="0"/>
        <w:textAlignment w:val="auto"/>
        <w:rPr>
          <w:rFonts w:hint="eastAsia" w:ascii="黑体" w:hAnsi="Times New Roman" w:eastAsia="黑体" w:cs="Times New Roman"/>
          <w:b w:val="0"/>
          <w:i w:val="0"/>
          <w:color w:val="000000" w:themeColor="text1"/>
          <w:kern w:val="0"/>
          <w:sz w:val="21"/>
          <w:szCs w:val="20"/>
          <w:highlight w:val="none"/>
          <w:lang w:val="en-US" w:eastAsia="zh-CN" w:bidi="ar-SA"/>
          <w14:textFill>
            <w14:solidFill>
              <w14:schemeClr w14:val="tx1"/>
            </w14:solidFill>
          </w14:textFill>
        </w:rPr>
      </w:pPr>
      <w:bookmarkStart w:id="71" w:name="_Toc28702"/>
      <w:r>
        <w:rPr>
          <w:rFonts w:hint="default" w:ascii="黑体" w:hAnsi="Times New Roman" w:eastAsia="黑体" w:cs="Times New Roman"/>
          <w:b w:val="0"/>
          <w:i w:val="0"/>
          <w:color w:val="000000" w:themeColor="text1"/>
          <w:kern w:val="0"/>
          <w:sz w:val="21"/>
          <w:szCs w:val="20"/>
          <w:highlight w:val="none"/>
          <w:lang w:val="en-US" w:eastAsia="zh-CN" w:bidi="ar-SA"/>
          <w14:textFill>
            <w14:solidFill>
              <w14:schemeClr w14:val="tx1"/>
            </w14:solidFill>
          </w14:textFill>
        </w:rPr>
        <w:t>附　录　</w:t>
      </w:r>
      <w:r>
        <w:rPr>
          <w:rFonts w:hint="eastAsia" w:ascii="黑体" w:hAnsi="Times New Roman" w:eastAsia="黑体" w:cs="Times New Roman"/>
          <w:b w:val="0"/>
          <w:i w:val="0"/>
          <w:color w:val="000000" w:themeColor="text1"/>
          <w:kern w:val="0"/>
          <w:sz w:val="21"/>
          <w:szCs w:val="20"/>
          <w:highlight w:val="none"/>
          <w:lang w:val="en-US" w:eastAsia="zh-CN" w:bidi="ar-SA"/>
          <w14:textFill>
            <w14:solidFill>
              <w14:schemeClr w14:val="tx1"/>
            </w14:solidFill>
          </w14:textFill>
        </w:rPr>
        <w:t>A</w:t>
      </w:r>
      <w:bookmarkEnd w:id="71"/>
    </w:p>
    <w:p w14:paraId="1066C468">
      <w:pPr>
        <w:pStyle w:val="84"/>
        <w:keepNext/>
        <w:keepLines w:val="0"/>
        <w:pageBreakBefore w:val="0"/>
        <w:widowControl/>
        <w:numPr>
          <w:ilvl w:val="0"/>
          <w:numId w:val="0"/>
        </w:numPr>
        <w:shd w:val="clear" w:color="FFFFFF" w:fill="FFFFFF"/>
        <w:tabs>
          <w:tab w:val="left" w:pos="360"/>
        </w:tabs>
        <w:kinsoku/>
        <w:wordWrap/>
        <w:overflowPunct/>
        <w:topLinePunct w:val="0"/>
        <w:autoSpaceDE/>
        <w:autoSpaceDN/>
        <w:bidi w:val="0"/>
        <w:adjustRightInd/>
        <w:snapToGrid/>
        <w:spacing w:before="0" w:after="0"/>
        <w:ind w:leftChars="0"/>
        <w:jc w:val="center"/>
        <w:textAlignment w:val="auto"/>
        <w:outlineLvl w:val="9"/>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（规范性）</w:t>
      </w:r>
    </w:p>
    <w:p w14:paraId="10CF3E13">
      <w:pPr>
        <w:pStyle w:val="84"/>
        <w:keepNext/>
        <w:keepLines w:val="0"/>
        <w:pageBreakBefore w:val="0"/>
        <w:widowControl/>
        <w:numPr>
          <w:ilvl w:val="0"/>
          <w:numId w:val="0"/>
        </w:numPr>
        <w:shd w:val="clear" w:color="FFFFFF" w:fill="FFFFFF"/>
        <w:tabs>
          <w:tab w:val="left" w:pos="360"/>
        </w:tabs>
        <w:kinsoku/>
        <w:wordWrap/>
        <w:overflowPunct/>
        <w:topLinePunct w:val="0"/>
        <w:autoSpaceDE/>
        <w:autoSpaceDN/>
        <w:bidi w:val="0"/>
        <w:adjustRightInd/>
        <w:snapToGrid/>
        <w:spacing w:before="0" w:after="0"/>
        <w:ind w:leftChars="0"/>
        <w:jc w:val="center"/>
        <w:textAlignment w:val="auto"/>
        <w:outlineLvl w:val="9"/>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花岗岩石粉亚甲蓝值</w:t>
      </w:r>
      <w:r>
        <w:rPr>
          <w:rFonts w:hint="eastAsia"/>
          <w:color w:val="000000" w:themeColor="text1"/>
          <w:highlight w:val="none"/>
          <w14:textFill>
            <w14:solidFill>
              <w14:schemeClr w14:val="tx1"/>
            </w14:solidFill>
          </w14:textFill>
        </w:rPr>
        <w:t>试验方法</w:t>
      </w:r>
    </w:p>
    <w:p w14:paraId="4F9C89B7">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eastAsia"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pPr>
    </w:p>
    <w:p w14:paraId="42B5D253">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t>A.0.1　本测试方法适用于花岗岩石粉亚甲蓝值的测试</w:t>
      </w:r>
    </w:p>
    <w:p w14:paraId="7D84F293">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t>A.0.2　试验仪器设备及其精度应符合下列规定：</w:t>
      </w:r>
    </w:p>
    <w:p w14:paraId="7E7E6727">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bookmarkStart w:id="72" w:name="_Toc14623"/>
      <w:r>
        <w:rPr>
          <w:rFonts w:hint="default" w:ascii="Times New Roman" w:hAnsi="Times New Roman" w:eastAsia="宋体" w:cs="Times New Roman"/>
          <w:color w:val="000000" w:themeColor="text1"/>
          <w:sz w:val="24"/>
          <w:szCs w:val="24"/>
          <w:highlight w:val="none"/>
          <w14:textFill>
            <w14:solidFill>
              <w14:schemeClr w14:val="tx1"/>
            </w14:solidFill>
          </w14:textFill>
        </w:rPr>
        <w:t>烘箱</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温度控制范围为</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10</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5±</w:t>
      </w:r>
      <w:r>
        <w:rPr>
          <w:rFonts w:hint="default" w:ascii="Times New Roman" w:hAnsi="Times New Roman" w:eastAsia="宋体" w:cs="Times New Roman"/>
          <w:color w:val="000000" w:themeColor="text1"/>
          <w:sz w:val="24"/>
          <w:szCs w:val="24"/>
          <w:highlight w:val="none"/>
          <w14:textFill>
            <w14:solidFill>
              <w14:schemeClr w14:val="tx1"/>
            </w14:solidFill>
          </w14:textFill>
        </w:rPr>
        <w:t>5</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bookmarkEnd w:id="72"/>
    </w:p>
    <w:p w14:paraId="4AD3BED0">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天平</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量程不小于1000g</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分度值不大于0.1g.</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；量程不小于100g，分度值不大于 0.01g。</w:t>
      </w:r>
    </w:p>
    <w:p w14:paraId="00D5161D">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73" w:name="_Toc6034"/>
      <w:r>
        <w:rPr>
          <w:rFonts w:hint="default" w:ascii="Times New Roman" w:hAnsi="Times New Roman" w:eastAsia="宋体" w:cs="Times New Roman"/>
          <w:color w:val="000000" w:themeColor="text1"/>
          <w:sz w:val="24"/>
          <w:szCs w:val="24"/>
          <w:highlight w:val="none"/>
          <w14:textFill>
            <w14:solidFill>
              <w14:schemeClr w14:val="tx1"/>
            </w14:solidFill>
          </w14:textFill>
        </w:rPr>
        <w:t>移液管</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5mL、2mL移液管各一个</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bookmarkEnd w:id="73"/>
    </w:p>
    <w:p w14:paraId="19C386AC">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三片或四片</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式</w:t>
      </w:r>
      <w:r>
        <w:rPr>
          <w:rFonts w:hint="default" w:ascii="Times New Roman" w:hAnsi="Times New Roman" w:eastAsia="宋体" w:cs="Times New Roman"/>
          <w:color w:val="000000" w:themeColor="text1"/>
          <w:sz w:val="24"/>
          <w:szCs w:val="24"/>
          <w:highlight w:val="none"/>
          <w14:textFill>
            <w14:solidFill>
              <w14:schemeClr w14:val="tx1"/>
            </w14:solidFill>
          </w14:textFill>
        </w:rPr>
        <w:t>叶轮搅拌器</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转速可调最高达</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600</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60</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r/min，直径</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75</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10</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mm</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1F3C5107">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定时装置</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分度值1s。</w:t>
      </w:r>
    </w:p>
    <w:p w14:paraId="59F4554E">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玻璃容量瓶</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容量1L</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65FE1337">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温度计</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精度1℃</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584C5CFE">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玻璃棒</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2支，直径8mm，长300mm</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36694E90">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滤纸</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快速定量滤纸。</w:t>
      </w:r>
    </w:p>
    <w:p w14:paraId="509ACBCB">
      <w:pPr>
        <w:pStyle w:val="86"/>
        <w:keepNext w:val="0"/>
        <w:keepLines w:val="0"/>
        <w:pageBreakBefore w:val="0"/>
        <w:widowControl/>
        <w:numPr>
          <w:ilvl w:val="0"/>
          <w:numId w:val="19"/>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烧杯：</w:t>
      </w:r>
      <w:r>
        <w:rPr>
          <w:rFonts w:hint="default" w:ascii="Times New Roman" w:hAnsi="Times New Roman" w:eastAsia="宋体" w:cs="Times New Roman"/>
          <w:color w:val="000000" w:themeColor="text1"/>
          <w:sz w:val="24"/>
          <w:szCs w:val="24"/>
          <w:highlight w:val="none"/>
          <w14:textFill>
            <w14:solidFill>
              <w14:schemeClr w14:val="tx1"/>
            </w14:solidFill>
          </w14:textFill>
        </w:rPr>
        <w:t>容量</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1000m</w:t>
      </w:r>
      <w:r>
        <w:rPr>
          <w:rFonts w:hint="default" w:ascii="Times New Roman" w:hAnsi="Times New Roman" w:eastAsia="宋体" w:cs="Times New Roman"/>
          <w:color w:val="000000" w:themeColor="text1"/>
          <w:sz w:val="24"/>
          <w:szCs w:val="24"/>
          <w:highlight w:val="none"/>
          <w14:textFill>
            <w14:solidFill>
              <w14:schemeClr w14:val="tx1"/>
            </w14:solidFill>
          </w14:textFill>
        </w:rPr>
        <w:t>L</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542707E0">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t>A.0.3　亚甲蓝溶液应按下列步骤配制：</w:t>
      </w:r>
    </w:p>
    <w:p w14:paraId="04B41BC2">
      <w:pPr>
        <w:pStyle w:val="86"/>
        <w:keepNext w:val="0"/>
        <w:keepLines w:val="0"/>
        <w:pageBreakBefore w:val="0"/>
        <w:widowControl/>
        <w:numPr>
          <w:ilvl w:val="0"/>
          <w:numId w:val="20"/>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测定亚甲蓝中的水分含量</w:t>
      </w:r>
      <m:oMath>
        <m:r>
          <m:rPr>
            <m:sty m:val="p"/>
          </m:rPr>
          <w:rPr>
            <w:rFonts w:hint="default" w:ascii="Cambria Math" w:hAnsi="Cambria Math" w:eastAsia="宋体" w:cs="Times New Roman"/>
            <w:color w:val="000000" w:themeColor="text1"/>
            <w:kern w:val="21"/>
            <w:sz w:val="24"/>
            <w:szCs w:val="24"/>
            <w:highlight w:val="none"/>
            <w:lang w:val="en-US" w:eastAsia="zh-CN" w:bidi="ar-SA"/>
            <w14:textFill>
              <w14:solidFill>
                <w14:schemeClr w14:val="tx1"/>
              </w14:solidFill>
            </w14:textFill>
          </w:rPr>
          <m:t>w</m:t>
        </m:r>
      </m:oMath>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。称取含量≥98.5%的亚甲蓝（C16H18CIN3S·3H2O）粉末约 5g，精确到0.01g，记为</w:t>
      </w:r>
      <w:r>
        <w:rPr>
          <w:rFonts w:hint="default" w:ascii="Times New Roman" w:hAnsi="Times New Roman" w:eastAsia="宋体" w:cs="Times New Roman"/>
          <w:i/>
          <w:color w:val="000000" w:themeColor="text1"/>
          <w:sz w:val="24"/>
          <w:szCs w:val="24"/>
          <w:highlight w:val="none"/>
          <w14:textFill>
            <w14:solidFill>
              <w14:schemeClr w14:val="tx1"/>
            </w14:solidFill>
          </w14:textFill>
        </w:rPr>
        <w:t>m</w:t>
      </w:r>
      <w:r>
        <w:rPr>
          <w:rFonts w:hint="eastAsia" w:ascii="Times New Roman" w:hAnsi="Times New Roman" w:cs="Times New Roman"/>
          <w:i/>
          <w:color w:val="000000" w:themeColor="text1"/>
          <w:sz w:val="24"/>
          <w:szCs w:val="24"/>
          <w:highlight w:val="none"/>
          <w:vertAlign w:val="subscript"/>
          <w:lang w:val="en-US" w:eastAsia="zh-CN"/>
          <w14:textFill>
            <w14:solidFill>
              <w14:schemeClr w14:val="tx1"/>
            </w14:solidFill>
          </w14:textFill>
        </w:rPr>
        <w:t>w</w:t>
      </w:r>
      <w:r>
        <w:rPr>
          <w:rFonts w:hint="default" w:ascii="Times New Roman" w:hAnsi="Times New Roman" w:eastAsia="宋体" w:cs="Times New Roman"/>
          <w:i/>
          <w:color w:val="000000" w:themeColor="text1"/>
          <w:sz w:val="24"/>
          <w:szCs w:val="24"/>
          <w:highlight w:val="none"/>
          <w:vertAlign w:val="subscript"/>
          <w14:textFill>
            <w14:solidFill>
              <w14:schemeClr w14:val="tx1"/>
            </w14:solidFill>
          </w14:textFill>
        </w:rPr>
        <w:t>0</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。在（100±5）℃烘至恒重，置于干燥器中冷却。从干燥器中取出后立即称重，精确到0.01g，记为</w:t>
      </w:r>
      <w:r>
        <w:rPr>
          <w:rFonts w:hint="default" w:ascii="Times New Roman" w:hAnsi="Times New Roman" w:eastAsia="宋体" w:cs="Times New Roman"/>
          <w:i/>
          <w:color w:val="000000" w:themeColor="text1"/>
          <w:sz w:val="24"/>
          <w:szCs w:val="24"/>
          <w:highlight w:val="none"/>
          <w14:textFill>
            <w14:solidFill>
              <w14:schemeClr w14:val="tx1"/>
            </w14:solidFill>
          </w14:textFill>
        </w:rPr>
        <w:t>m</w:t>
      </w:r>
      <w:r>
        <w:rPr>
          <w:rFonts w:hint="default" w:ascii="Times New Roman" w:hAnsi="Times New Roman" w:eastAsia="宋体" w:cs="Times New Roman"/>
          <w:i/>
          <w:color w:val="000000" w:themeColor="text1"/>
          <w:sz w:val="24"/>
          <w:szCs w:val="24"/>
          <w:highlight w:val="none"/>
          <w:vertAlign w:val="subscript"/>
          <w:lang w:val="en-US" w:eastAsia="zh-CN"/>
          <w14:textFill>
            <w14:solidFill>
              <w14:schemeClr w14:val="tx1"/>
            </w14:solidFill>
          </w14:textFill>
        </w:rPr>
        <w:t>w</w:t>
      </w:r>
      <w:r>
        <w:rPr>
          <w:rFonts w:hint="eastAsia" w:ascii="Times New Roman" w:eastAsia="宋体" w:cs="Times New Roman"/>
          <w:i/>
          <w:color w:val="000000" w:themeColor="text1"/>
          <w:sz w:val="24"/>
          <w:szCs w:val="24"/>
          <w:highlight w:val="none"/>
          <w:vertAlign w:val="subscript"/>
          <w:lang w:val="en-US" w:eastAsia="zh-CN"/>
          <w14:textFill>
            <w14:solidFill>
              <w14:schemeClr w14:val="tx1"/>
            </w14:solidFill>
          </w14:textFill>
        </w:rPr>
        <w:t>1</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。按式（A.</w:t>
      </w: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0.3</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）计算亚甲蓝粉末的含水率，精确至0.1%。</w:t>
      </w:r>
    </w:p>
    <w:p w14:paraId="13ED5E44">
      <w:pPr>
        <w:pStyle w:val="44"/>
        <w:keepNext w:val="0"/>
        <w:keepLines w:val="0"/>
        <w:pageBreakBefore w:val="0"/>
        <w:kinsoku/>
        <w:topLinePunct w:val="0"/>
        <w:bidi w:val="0"/>
        <w:spacing w:before="0" w:beforeLines="0" w:after="0" w:afterLines="0" w:line="400" w:lineRule="exact"/>
        <w:ind w:firstLine="1680" w:firstLineChars="700"/>
        <w:jc w:val="center"/>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i w:val="0"/>
          <w:color w:val="000000" w:themeColor="text1"/>
          <w:sz w:val="24"/>
          <w:szCs w:val="24"/>
          <w:highlight w:val="none"/>
          <w:lang w:val="en-US" w:eastAsia="zh-CN"/>
          <w14:textFill>
            <w14:solidFill>
              <w14:schemeClr w14:val="tx1"/>
            </w14:solidFill>
          </w14:textFill>
        </w:rPr>
        <w:t xml:space="preserve">      </w:t>
      </w:r>
      <m:oMath>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 xml:space="preserve">w = </m:t>
        </m:r>
        <m:f>
          <m:fP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fPr>
          <m:num>
            <m:sSub>
              <m:sSubP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m</m:t>
                </m: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e>
              <m:sub>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w0</m:t>
                </m: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sub>
            </m:sSub>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m</m:t>
                </m: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e>
              <m:sub>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w1</m:t>
                </m: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sub>
            </m:sSub>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num>
          <m:den>
            <m:sSub>
              <m:sSubP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sSubPr>
              <m:e>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m</m:t>
                </m: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e>
              <m:sub>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w1</m:t>
                </m:r>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sub>
            </m:sSub>
            <m:ctrlPr>
              <w:rPr>
                <w:rFonts w:hint="default" w:ascii="Cambria Math" w:hAnsi="Cambria Math" w:eastAsia="宋体" w:cs="Times New Roman"/>
                <w:i/>
                <w:color w:val="000000" w:themeColor="text1"/>
                <w:sz w:val="24"/>
                <w:szCs w:val="24"/>
                <w:highlight w:val="none"/>
                <w:lang w:val="en-US"/>
                <w14:textFill>
                  <w14:solidFill>
                    <w14:schemeClr w14:val="tx1"/>
                  </w14:solidFill>
                </w14:textFill>
              </w:rPr>
            </m:ctrlPr>
          </m:den>
        </m:f>
      </m:oMath>
      <w:r>
        <w:rPr>
          <w:rFonts w:hint="default" w:ascii="Times New Roman" w:hAnsi="Times New Roman" w:eastAsia="宋体" w:cs="Times New Roman"/>
          <w:color w:val="000000" w:themeColor="text1"/>
          <w:sz w:val="24"/>
          <w:szCs w:val="24"/>
          <w:highlight w:val="none"/>
          <w14:textFill>
            <w14:solidFill>
              <w14:schemeClr w14:val="tx1"/>
            </w14:solidFill>
          </w14:textFill>
        </w:rPr>
        <w:t xml:space="preserve"> </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×100%</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A</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0.3</w:t>
      </w:r>
      <w:r>
        <w:rPr>
          <w:rFonts w:hint="default" w:ascii="Times New Roman" w:hAnsi="Times New Roman" w:eastAsia="宋体" w:cs="Times New Roman"/>
          <w:color w:val="000000" w:themeColor="text1"/>
          <w:sz w:val="24"/>
          <w:szCs w:val="24"/>
          <w:highlight w:val="none"/>
          <w14:textFill>
            <w14:solidFill>
              <w14:schemeClr w14:val="tx1"/>
            </w14:solidFill>
          </w14:textFill>
        </w:rPr>
        <w:t xml:space="preserve">）  </w:t>
      </w:r>
    </w:p>
    <w:p w14:paraId="12EAB369">
      <w:pPr>
        <w:pStyle w:val="44"/>
        <w:keepNext w:val="0"/>
        <w:keepLines w:val="0"/>
        <w:pageBreakBefore w:val="0"/>
        <w:numPr>
          <w:ilvl w:val="1"/>
          <w:numId w:val="0"/>
        </w:numPr>
        <w:kinsoku/>
        <w:wordWrap/>
        <w:overflowPunct/>
        <w:topLinePunct w:val="0"/>
        <w:bidi w:val="0"/>
        <w:spacing w:before="0" w:beforeLines="0" w:after="0" w:afterLines="0" w:line="400" w:lineRule="exact"/>
        <w:ind w:firstLine="480" w:firstLineChars="200"/>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式中：</w:t>
      </w:r>
    </w:p>
    <w:p w14:paraId="3354EDED">
      <w:pPr>
        <w:pStyle w:val="44"/>
        <w:keepNext w:val="0"/>
        <w:keepLines w:val="0"/>
        <w:pageBreakBefore w:val="0"/>
        <w:numPr>
          <w:ilvl w:val="1"/>
          <w:numId w:val="0"/>
        </w:numPr>
        <w:kinsoku/>
        <w:wordWrap/>
        <w:overflowPunct/>
        <w:topLinePunct w:val="0"/>
        <w:bidi w:val="0"/>
        <w:spacing w:before="0" w:beforeLines="0" w:after="0" w:afterLines="0" w:line="400" w:lineRule="exact"/>
        <w:ind w:firstLine="480" w:firstLineChars="200"/>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m:oMath>
        <m:r>
          <m:rPr/>
          <w:rPr>
            <w:rFonts w:hint="default" w:ascii="Cambria Math" w:hAnsi="Cambria Math" w:eastAsia="宋体" w:cs="Times New Roman"/>
            <w:color w:val="000000" w:themeColor="text1"/>
            <w:sz w:val="24"/>
            <w:szCs w:val="24"/>
            <w:highlight w:val="none"/>
            <w:lang w:val="en-US" w:eastAsia="zh-CN"/>
            <w14:textFill>
              <w14:solidFill>
                <w14:schemeClr w14:val="tx1"/>
              </w14:solidFill>
            </w14:textFill>
          </w:rPr>
          <m:t>w</m:t>
        </m:r>
      </m:oMath>
      <w:r>
        <w:rPr>
          <w:rFonts w:hint="default" w:ascii="Times New Roman" w:hAnsi="Times New Roman" w:eastAsia="宋体" w:cs="Times New Roman"/>
          <w:color w:val="000000" w:themeColor="text1"/>
          <w:sz w:val="24"/>
          <w:szCs w:val="24"/>
          <w:highlight w:val="none"/>
          <w14:textFill>
            <w14:solidFill>
              <w14:schemeClr w14:val="tx1"/>
            </w14:solidFill>
          </w14:textFill>
        </w:rPr>
        <w:t>——亚甲蓝含水</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率</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14:paraId="719F9C66">
      <w:pPr>
        <w:pStyle w:val="44"/>
        <w:keepNext w:val="0"/>
        <w:keepLines w:val="0"/>
        <w:pageBreakBefore w:val="0"/>
        <w:numPr>
          <w:ilvl w:val="1"/>
          <w:numId w:val="0"/>
        </w:numPr>
        <w:kinsoku/>
        <w:wordWrap/>
        <w:overflowPunct/>
        <w:topLinePunct w:val="0"/>
        <w:bidi w:val="0"/>
        <w:spacing w:before="0" w:beforeLines="0" w:after="0" w:afterLines="0" w:line="400" w:lineRule="exact"/>
        <w:ind w:firstLine="480" w:firstLineChars="200"/>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i/>
          <w:color w:val="000000" w:themeColor="text1"/>
          <w:sz w:val="24"/>
          <w:szCs w:val="24"/>
          <w:highlight w:val="none"/>
          <w14:textFill>
            <w14:solidFill>
              <w14:schemeClr w14:val="tx1"/>
            </w14:solidFill>
          </w14:textFill>
        </w:rPr>
        <w:t>m</w:t>
      </w:r>
      <w:r>
        <w:rPr>
          <w:rFonts w:hint="default" w:ascii="Times New Roman" w:hAnsi="Times New Roman" w:eastAsia="宋体" w:cs="Times New Roman"/>
          <w:i/>
          <w:color w:val="000000" w:themeColor="text1"/>
          <w:sz w:val="24"/>
          <w:szCs w:val="24"/>
          <w:highlight w:val="none"/>
          <w:vertAlign w:val="subscript"/>
          <w:lang w:val="en-US" w:eastAsia="zh-CN"/>
          <w14:textFill>
            <w14:solidFill>
              <w14:schemeClr w14:val="tx1"/>
            </w14:solidFill>
          </w14:textFill>
        </w:rPr>
        <w:t>w</w:t>
      </w:r>
      <w:r>
        <w:rPr>
          <w:rFonts w:hint="default" w:ascii="Times New Roman" w:hAnsi="Times New Roman" w:eastAsia="宋体" w:cs="Times New Roman"/>
          <w:i/>
          <w:color w:val="000000" w:themeColor="text1"/>
          <w:sz w:val="24"/>
          <w:szCs w:val="24"/>
          <w:highlight w:val="none"/>
          <w:vertAlign w:val="subscript"/>
          <w14:textFill>
            <w14:solidFill>
              <w14:schemeClr w14:val="tx1"/>
            </w14:solidFill>
          </w14:textFill>
        </w:rPr>
        <w:t>0</w:t>
      </w:r>
      <w:r>
        <w:rPr>
          <w:rFonts w:hint="default" w:ascii="Times New Roman" w:hAnsi="Times New Roman" w:eastAsia="宋体" w:cs="Times New Roman"/>
          <w:color w:val="000000" w:themeColor="text1"/>
          <w:sz w:val="24"/>
          <w:szCs w:val="24"/>
          <w:highlight w:val="none"/>
          <w14:textFill>
            <w14:solidFill>
              <w14:schemeClr w14:val="tx1"/>
            </w14:solidFill>
          </w14:textFill>
        </w:rPr>
        <w:t>——烘干前亚甲蓝质量，单位为克（g）；</w:t>
      </w:r>
    </w:p>
    <w:p w14:paraId="1EE32441">
      <w:pPr>
        <w:keepNext w:val="0"/>
        <w:keepLines w:val="0"/>
        <w:pageBreakBefore w:val="0"/>
        <w:kinsoku/>
        <w:wordWrap/>
        <w:overflowPunct/>
        <w:topLinePunct w:val="0"/>
        <w:bidi w:val="0"/>
        <w:snapToGrid w:val="0"/>
        <w:spacing w:line="400" w:lineRule="exact"/>
        <w:ind w:left="0" w:leftChars="0" w:firstLine="480" w:firstLineChars="200"/>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i/>
          <w:color w:val="000000" w:themeColor="text1"/>
          <w:sz w:val="24"/>
          <w:szCs w:val="24"/>
          <w:highlight w:val="none"/>
          <w14:textFill>
            <w14:solidFill>
              <w14:schemeClr w14:val="tx1"/>
            </w14:solidFill>
          </w14:textFill>
        </w:rPr>
        <w:t>m</w:t>
      </w:r>
      <w:r>
        <w:rPr>
          <w:rFonts w:hint="default" w:ascii="Times New Roman" w:hAnsi="Times New Roman" w:eastAsia="宋体" w:cs="Times New Roman"/>
          <w:i/>
          <w:color w:val="000000" w:themeColor="text1"/>
          <w:sz w:val="24"/>
          <w:szCs w:val="24"/>
          <w:highlight w:val="none"/>
          <w:vertAlign w:val="subscript"/>
          <w:lang w:val="en-US" w:eastAsia="zh-CN"/>
          <w14:textFill>
            <w14:solidFill>
              <w14:schemeClr w14:val="tx1"/>
            </w14:solidFill>
          </w14:textFill>
        </w:rPr>
        <w:t>w</w:t>
      </w:r>
      <w:r>
        <w:rPr>
          <w:rFonts w:hint="default" w:ascii="Times New Roman" w:hAnsi="Times New Roman" w:eastAsia="宋体" w:cs="Times New Roman"/>
          <w:i/>
          <w:color w:val="000000" w:themeColor="text1"/>
          <w:sz w:val="24"/>
          <w:szCs w:val="24"/>
          <w:highlight w:val="none"/>
          <w:vertAlign w:val="subscript"/>
          <w14:textFill>
            <w14:solidFill>
              <w14:schemeClr w14:val="tx1"/>
            </w14:solidFill>
          </w14:textFill>
        </w:rPr>
        <w:t>1</w:t>
      </w:r>
      <w:r>
        <w:rPr>
          <w:rFonts w:hint="default" w:ascii="Times New Roman" w:hAnsi="Times New Roman" w:eastAsia="宋体" w:cs="Times New Roman"/>
          <w:color w:val="000000" w:themeColor="text1"/>
          <w:sz w:val="24"/>
          <w:szCs w:val="24"/>
          <w:highlight w:val="none"/>
          <w14:textFill>
            <w14:solidFill>
              <w14:schemeClr w14:val="tx1"/>
            </w14:solidFill>
          </w14:textFill>
        </w:rPr>
        <w:t>——烘干后亚甲蓝质量，单位为克（g）。</w:t>
      </w:r>
    </w:p>
    <w:p w14:paraId="297D72D6">
      <w:pPr>
        <w:pStyle w:val="86"/>
        <w:keepNext w:val="0"/>
        <w:keepLines w:val="0"/>
        <w:pageBreakBefore w:val="0"/>
        <w:widowControl/>
        <w:numPr>
          <w:ilvl w:val="0"/>
          <w:numId w:val="20"/>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称量未烘干的亚甲蓝[100×(1+</w:t>
      </w:r>
      <m:oMath>
        <m:r>
          <m:rPr>
            <m:sty m:val="p"/>
          </m:rPr>
          <w:rPr>
            <w:rFonts w:hint="default" w:ascii="Cambria Math" w:hAnsi="Cambria Math" w:eastAsia="宋体" w:cs="Times New Roman"/>
            <w:color w:val="000000" w:themeColor="text1"/>
            <w:kern w:val="21"/>
            <w:sz w:val="24"/>
            <w:szCs w:val="24"/>
            <w:highlight w:val="none"/>
            <w:lang w:val="en-US" w:eastAsia="zh-CN" w:bidi="ar-SA"/>
            <w14:textFill>
              <w14:solidFill>
                <w14:schemeClr w14:val="tx1"/>
              </w14:solidFill>
            </w14:textFill>
          </w:rPr>
          <m:t>w</m:t>
        </m:r>
      </m:oMath>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)/10] g±0.01g，即干燥亚甲蓝(10.00±0.01) g，精确至 0.01 g。</w:t>
      </w:r>
    </w:p>
    <w:p w14:paraId="691A9BC1">
      <w:pPr>
        <w:pStyle w:val="86"/>
        <w:keepNext w:val="0"/>
        <w:keepLines w:val="0"/>
        <w:pageBreakBefore w:val="0"/>
        <w:widowControl/>
        <w:numPr>
          <w:ilvl w:val="0"/>
          <w:numId w:val="20"/>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bookmarkStart w:id="74" w:name="_Toc30918"/>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加热盛有约600m洁净水的烧杯，水温不超过40℃。</w:t>
      </w:r>
      <w:bookmarkEnd w:id="74"/>
    </w:p>
    <w:p w14:paraId="4062D460">
      <w:pPr>
        <w:pStyle w:val="86"/>
        <w:keepNext w:val="0"/>
        <w:keepLines w:val="0"/>
        <w:pageBreakBefore w:val="0"/>
        <w:widowControl/>
        <w:numPr>
          <w:ilvl w:val="0"/>
          <w:numId w:val="20"/>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边搅动边加入亚甲蓝粉末，持续搅动45min，直至亚甲蓝粉末全部溶解为主，然后冷却至20℃。</w:t>
      </w:r>
    </w:p>
    <w:p w14:paraId="0A352C46">
      <w:pPr>
        <w:pStyle w:val="86"/>
        <w:keepNext w:val="0"/>
        <w:keepLines w:val="0"/>
        <w:pageBreakBefore w:val="0"/>
        <w:widowControl/>
        <w:numPr>
          <w:ilvl w:val="0"/>
          <w:numId w:val="20"/>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将溶液倒入1L</w:t>
      </w: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 xml:space="preserve"> </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容量瓶中，用洁净水淋洗烧杯等，使所有亚甲蓝溶液全部移入容量瓶，容量瓶和溶液的温度应保持在(20士1)℃，加洁净水至容量瓶 1L 刻度。</w:t>
      </w:r>
    </w:p>
    <w:p w14:paraId="530C457F">
      <w:pPr>
        <w:pStyle w:val="86"/>
        <w:keepNext w:val="0"/>
        <w:keepLines w:val="0"/>
        <w:pageBreakBefore w:val="0"/>
        <w:widowControl/>
        <w:numPr>
          <w:ilvl w:val="0"/>
          <w:numId w:val="20"/>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摇晃容量瓶以保证亚甲蓝粉末完全溶解。将标准液移入深色储藏瓶中，亚甲蓝标准溶液保质期应不超过28d。配制好的溶液应标明制备日期、失效日期，并避光保存。</w:t>
      </w:r>
    </w:p>
    <w:p w14:paraId="58057F66">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t>A.0.4　试样制备应按下列步骤进行：</w:t>
      </w:r>
    </w:p>
    <w:p w14:paraId="3BFD88AA">
      <w:pPr>
        <w:pStyle w:val="86"/>
        <w:keepNext w:val="0"/>
        <w:keepLines w:val="0"/>
        <w:pageBreakBefore w:val="0"/>
        <w:widowControl/>
        <w:numPr>
          <w:ilvl w:val="0"/>
          <w:numId w:val="21"/>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将花岗岩石粉样品缩分至200g，放在烘箱中于（105±5）℃下烘干至恒重，冷却至室温。</w:t>
      </w:r>
    </w:p>
    <w:p w14:paraId="3E35C1A0">
      <w:pPr>
        <w:pStyle w:val="86"/>
        <w:keepNext w:val="0"/>
        <w:keepLines w:val="0"/>
        <w:pageBreakBefore w:val="0"/>
        <w:widowControl/>
        <w:numPr>
          <w:ilvl w:val="0"/>
          <w:numId w:val="21"/>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称取 50g 花岗岩石粉，精确至 0.1g；作为试样备用。</w:t>
      </w:r>
    </w:p>
    <w:p w14:paraId="32F84DE6">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t>A.0.5　应按下列步骤进行试验操作：</w:t>
      </w:r>
    </w:p>
    <w:p w14:paraId="504640FD">
      <w:pPr>
        <w:pStyle w:val="86"/>
        <w:keepNext w:val="0"/>
        <w:keepLines w:val="0"/>
        <w:pageBreakBefore w:val="0"/>
        <w:widowControl/>
        <w:numPr>
          <w:ilvl w:val="0"/>
          <w:numId w:val="22"/>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将试样倒入盛有（500±5）mL蒸馏水的烧杯中，将叶轮搅拌机调整到</w:t>
      </w: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600±60</w:t>
      </w: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r/min转速搅拌5min，形成悬浮液，然后以（400±40）r/min转速持续搅拌，直至试验结束。</w:t>
      </w:r>
    </w:p>
    <w:p w14:paraId="26440D05">
      <w:pPr>
        <w:pStyle w:val="86"/>
        <w:keepNext w:val="0"/>
        <w:keepLines w:val="0"/>
        <w:pageBreakBefore w:val="0"/>
        <w:widowControl/>
        <w:numPr>
          <w:ilvl w:val="0"/>
          <w:numId w:val="22"/>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将滤纸架空放置在敞口烧杯的顶部,使其不与任何其他物品接触。</w:t>
      </w:r>
    </w:p>
    <w:p w14:paraId="24C3C29D">
      <w:pPr>
        <w:pStyle w:val="86"/>
        <w:keepNext w:val="0"/>
        <w:keepLines w:val="0"/>
        <w:pageBreakBefore w:val="0"/>
        <w:widowControl/>
        <w:numPr>
          <w:ilvl w:val="0"/>
          <w:numId w:val="22"/>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在悬浮液中加入5mL亚甲蓝溶液，搅拌器以（400±40）r/min转速搅拌至少1min后，在滤纸上进行第一次色晕检验，即用玻璃棒蘸取一滴悬浮液。即用玻璃棒蘸取1滴石粉悬浮液滴于滤纸上，液滴在滤纸上形成环状，中间是石粉沉淀物，液滴的数量应使沉淀物直径在8mm~12mm之间，外围环绕一圈无色的水环。观察在沉淀物周围边缘是否放射出1mm 宽的浅蓝色晕。</w:t>
      </w:r>
    </w:p>
    <w:p w14:paraId="46E94064">
      <w:pPr>
        <w:pStyle w:val="86"/>
        <w:keepNext w:val="0"/>
        <w:keepLines w:val="0"/>
        <w:pageBreakBefore w:val="0"/>
        <w:widowControl/>
        <w:numPr>
          <w:ilvl w:val="0"/>
          <w:numId w:val="22"/>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如果第 1 次的5mL亚甲蓝溶液没有使沉淀物周围出现色晕，再向石粉悬浮液中加人5mL亚甲蓝溶液，继续搅拌1min，再用玻璃棒蘸取1滴悬浮液，滴于滤纸上，进行2次色晕试验，若沉淀物周围仍未出现色晕，重复上述步骤，直至沉淀物周围出现约1mm宽的稳定浅蓝色晕。</w:t>
      </w:r>
    </w:p>
    <w:p w14:paraId="683513D1">
      <w:pPr>
        <w:pStyle w:val="86"/>
        <w:keepNext w:val="0"/>
        <w:keepLines w:val="0"/>
        <w:pageBreakBefore w:val="0"/>
        <w:widowControl/>
        <w:numPr>
          <w:ilvl w:val="0"/>
          <w:numId w:val="22"/>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停止滴加亚甲蓝溶液，但继续搅拌悬浮液，每1min 蘸取1次悬浮液进行色晕试验。若色晕在4min内消失，再加入5mL亚甲蓝溶液；若色晕在第5min 消失，再加人2mL亚甲蓝溶液。两种情况下，均应继续进行搅拌和蘸染试验，直至色晕可持续5min。</w:t>
      </w:r>
    </w:p>
    <w:p w14:paraId="15246503">
      <w:pPr>
        <w:pStyle w:val="44"/>
        <w:keepNext w:val="0"/>
        <w:keepLines w:val="0"/>
        <w:pageBreakBefore w:val="0"/>
        <w:widowControl/>
        <w:numPr>
          <w:ilvl w:val="1"/>
          <w:numId w:val="0"/>
        </w:numPr>
        <w:kinsoku/>
        <w:wordWrap/>
        <w:overflowPunct/>
        <w:topLinePunct w:val="0"/>
        <w:autoSpaceDE w:val="0"/>
        <w:autoSpaceDN w:val="0"/>
        <w:bidi w:val="0"/>
        <w:adjustRightInd/>
        <w:snapToGrid w:val="0"/>
        <w:spacing w:before="0" w:beforeLines="0" w:after="0" w:afterLines="0" w:line="400" w:lineRule="exact"/>
        <w:ind w:firstLine="440" w:firstLineChars="200"/>
        <w:textAlignment w:val="auto"/>
        <w:outlineLvl w:val="9"/>
        <w:rPr>
          <w:rFonts w:hint="default" w:ascii="Times New Roman" w:hAnsi="Times New Roman" w:eastAsia="宋体" w:cs="Times New Roman"/>
          <w:b w:val="0"/>
          <w:bCs w:val="0"/>
          <w:color w:val="000000" w:themeColor="text1"/>
          <w:sz w:val="22"/>
          <w:szCs w:val="22"/>
          <w:highlight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2"/>
          <w:szCs w:val="22"/>
          <w:highlight w:val="none"/>
          <w:lang w:val="en-US" w:eastAsia="zh-CN"/>
          <w14:textFill>
            <w14:solidFill>
              <w14:schemeClr w14:val="tx1"/>
            </w14:solidFill>
          </w14:textFill>
        </w:rPr>
        <w:t>注：由于石粉吸附亚甲蓝需要一定的时间才能完成，在色晕试验过程中，色晕可能在出现后又消失了。因此，需要每隔1min 进行1次色晕检验，连续5次出现色晕为有效。</w:t>
      </w:r>
    </w:p>
    <w:p w14:paraId="0BB0FE4D">
      <w:pPr>
        <w:pStyle w:val="86"/>
        <w:keepNext w:val="0"/>
        <w:keepLines w:val="0"/>
        <w:pageBreakBefore w:val="0"/>
        <w:widowControl/>
        <w:numPr>
          <w:ilvl w:val="0"/>
          <w:numId w:val="22"/>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记录色晕持续 5 min 时所加入的亚甲蓝溶液总体积，精确至1mL。</w:t>
      </w:r>
    </w:p>
    <w:p w14:paraId="737CF97E">
      <w:pPr>
        <w:pStyle w:val="44"/>
        <w:keepNext w:val="0"/>
        <w:keepLines w:val="0"/>
        <w:pageBreakBefore w:val="0"/>
        <w:widowControl/>
        <w:numPr>
          <w:ilvl w:val="1"/>
          <w:numId w:val="0"/>
        </w:numPr>
        <w:kinsoku/>
        <w:wordWrap/>
        <w:overflowPunct/>
        <w:topLinePunct w:val="0"/>
        <w:autoSpaceDE w:val="0"/>
        <w:autoSpaceDN w:val="0"/>
        <w:bidi w:val="0"/>
        <w:adjustRightInd/>
        <w:snapToGrid/>
        <w:spacing w:before="0" w:beforeLines="0" w:after="0" w:afterLines="0" w:line="400" w:lineRule="exact"/>
        <w:ind w:firstLine="440" w:firstLineChars="200"/>
        <w:textAlignment w:val="auto"/>
        <w:outlineLvl w:val="9"/>
        <w:rPr>
          <w:rFonts w:hint="default" w:ascii="Times New Roman" w:hAnsi="Times New Roman" w:eastAsia="宋体" w:cs="Times New Roman"/>
          <w:b w:val="0"/>
          <w:bCs w:val="0"/>
          <w:i w:val="0"/>
          <w:color w:val="000000" w:themeColor="text1"/>
          <w:kern w:val="21"/>
          <w:sz w:val="22"/>
          <w:szCs w:val="22"/>
          <w:highlight w:val="none"/>
          <w:lang w:val="en-US" w:eastAsia="zh-CN" w:bidi="ar-SA"/>
          <w14:textFill>
            <w14:solidFill>
              <w14:schemeClr w14:val="tx1"/>
            </w14:solidFill>
          </w14:textFill>
        </w:rPr>
      </w:pPr>
      <w:r>
        <w:rPr>
          <w:rFonts w:hint="default" w:ascii="Times New Roman" w:hAnsi="Times New Roman" w:eastAsia="宋体" w:cs="Times New Roman"/>
          <w:b w:val="0"/>
          <w:bCs w:val="0"/>
          <w:i w:val="0"/>
          <w:color w:val="000000" w:themeColor="text1"/>
          <w:kern w:val="21"/>
          <w:sz w:val="22"/>
          <w:szCs w:val="22"/>
          <w:highlight w:val="none"/>
          <w:lang w:val="en-US" w:eastAsia="zh-CN" w:bidi="ar-SA"/>
          <w14:textFill>
            <w14:solidFill>
              <w14:schemeClr w14:val="tx1"/>
            </w14:solidFill>
          </w14:textFill>
        </w:rPr>
        <w:t>注：试验结束后应立即用水彻底清洗试验用容器，清洗后的容器不得含有清洁剂成分。</w:t>
      </w:r>
    </w:p>
    <w:p w14:paraId="7D805EFB">
      <w:pPr>
        <w:pStyle w:val="85"/>
        <w:keepNext w:val="0"/>
        <w:keepLines w:val="0"/>
        <w:pageBreakBefore w:val="0"/>
        <w:numPr>
          <w:ilvl w:val="1"/>
          <w:numId w:val="0"/>
        </w:numPr>
        <w:tabs>
          <w:tab w:val="left" w:pos="360"/>
        </w:tabs>
        <w:kinsoku/>
        <w:topLinePunct w:val="0"/>
        <w:bidi w:val="0"/>
        <w:spacing w:before="0" w:beforeLines="0" w:after="0" w:afterLines="0" w:line="400" w:lineRule="exact"/>
        <w:ind w:left="0" w:leftChars="0" w:firstLine="0" w:firstLineChars="0"/>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b w:val="0"/>
          <w:i w:val="0"/>
          <w:snapToGrid/>
          <w:color w:val="000000" w:themeColor="text1"/>
          <w:spacing w:val="0"/>
          <w:w w:val="100"/>
          <w:kern w:val="21"/>
          <w:sz w:val="24"/>
          <w:szCs w:val="24"/>
          <w:highlight w:val="none"/>
          <w:lang w:val="en-US" w:eastAsia="zh-CN" w:bidi="ar-SA"/>
          <w14:textFill>
            <w14:solidFill>
              <w14:schemeClr w14:val="tx1"/>
            </w14:solidFill>
          </w14:textFill>
        </w:rPr>
        <w:t>A.0.6　</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花岗岩石粉亚甲蓝值（MB</w:t>
      </w:r>
      <w:r>
        <w:rPr>
          <w:rFonts w:hint="default" w:ascii="Times New Roman" w:hAnsi="Times New Roman" w:eastAsia="宋体" w:cs="Times New Roman"/>
          <w:color w:val="000000" w:themeColor="text1"/>
          <w:sz w:val="24"/>
          <w:szCs w:val="24"/>
          <w:highlight w:val="none"/>
          <w:vertAlign w:val="subscript"/>
          <w:lang w:val="en-US" w:eastAsia="zh-CN"/>
          <w14:textFill>
            <w14:solidFill>
              <w14:schemeClr w14:val="tx1"/>
            </w14:solidFill>
          </w14:textFill>
        </w:rPr>
        <w:t>F</w:t>
      </w:r>
      <w:r>
        <w:rPr>
          <w:rFonts w:hint="eastAsia" w:ascii="Times New Roman" w:hAnsi="Times New Roman" w:eastAsia="宋体" w:cs="Times New Roman"/>
          <w:color w:val="000000" w:themeColor="text1"/>
          <w:sz w:val="24"/>
          <w:szCs w:val="24"/>
          <w:highlight w:val="none"/>
          <w:vertAlign w:val="baseline"/>
          <w:lang w:val="en-US" w:eastAsia="zh-CN"/>
          <w14:textFill>
            <w14:solidFill>
              <w14:schemeClr w14:val="tx1"/>
            </w14:solidFill>
          </w14:textFill>
        </w:rPr>
        <w:t>值</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）计算</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w:t>
      </w:r>
    </w:p>
    <w:p w14:paraId="4FD155E9">
      <w:pPr>
        <w:pStyle w:val="86"/>
        <w:keepNext w:val="0"/>
        <w:keepLines w:val="0"/>
        <w:pageBreakBefore w:val="0"/>
        <w:widowControl/>
        <w:numPr>
          <w:ilvl w:val="0"/>
          <w:numId w:val="23"/>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花岗岩石粉亚甲蓝值（MB</w:t>
      </w:r>
      <w:r>
        <w:rPr>
          <w:rFonts w:hint="default" w:ascii="Times New Roman" w:hAnsi="Times New Roman" w:eastAsia="宋体" w:cs="Times New Roman"/>
          <w:color w:val="000000" w:themeColor="text1"/>
          <w:sz w:val="24"/>
          <w:szCs w:val="24"/>
          <w:highlight w:val="none"/>
          <w:vertAlign w:val="subscript"/>
          <w:lang w:val="en-US" w:eastAsia="zh-CN"/>
          <w14:textFill>
            <w14:solidFill>
              <w14:schemeClr w14:val="tx1"/>
            </w14:solidFill>
          </w14:textFill>
        </w:rPr>
        <w:t>F</w:t>
      </w:r>
      <w:r>
        <w:rPr>
          <w:rFonts w:hint="eastAsia" w:ascii="Times New Roman" w:hAnsi="Times New Roman" w:eastAsia="宋体" w:cs="Times New Roman"/>
          <w:color w:val="000000" w:themeColor="text1"/>
          <w:sz w:val="24"/>
          <w:szCs w:val="24"/>
          <w:highlight w:val="none"/>
          <w:vertAlign w:val="baseline"/>
          <w:lang w:val="en-US" w:eastAsia="zh-CN"/>
          <w14:textFill>
            <w14:solidFill>
              <w14:schemeClr w14:val="tx1"/>
            </w14:solidFill>
          </w14:textFill>
        </w:rPr>
        <w:t>值</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按式（A.</w:t>
      </w: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0.6</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）计算，精确至0.01：</w:t>
      </w:r>
    </w:p>
    <w:p w14:paraId="507FC933">
      <w:pPr>
        <w:keepNext w:val="0"/>
        <w:keepLines w:val="0"/>
        <w:pageBreakBefore w:val="0"/>
        <w:widowControl/>
        <w:kinsoku/>
        <w:wordWrap/>
        <w:overflowPunct/>
        <w:topLinePunct w:val="0"/>
        <w:autoSpaceDE w:val="0"/>
        <w:autoSpaceDN w:val="0"/>
        <w:bidi w:val="0"/>
        <w:adjustRightInd/>
        <w:snapToGrid/>
        <w:spacing w:line="360" w:lineRule="auto"/>
        <w:jc w:val="center"/>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i/>
          <w:iCs/>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i/>
          <w:iCs/>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宋体" w:cs="Times New Roman"/>
          <w:i w:val="0"/>
          <w:iCs w:val="0"/>
          <w:color w:val="000000" w:themeColor="text1"/>
          <w:sz w:val="24"/>
          <w:szCs w:val="24"/>
          <w:highlight w:val="none"/>
          <w:lang w:val="en-US" w:eastAsia="zh-CN"/>
          <w14:textFill>
            <w14:solidFill>
              <w14:schemeClr w14:val="tx1"/>
            </w14:solidFill>
          </w14:textFill>
        </w:rPr>
        <w:t>MB</w:t>
      </w:r>
      <w:r>
        <w:rPr>
          <w:rFonts w:hint="default" w:ascii="Times New Roman" w:hAnsi="Times New Roman" w:eastAsia="宋体" w:cs="Times New Roman"/>
          <w:i w:val="0"/>
          <w:iCs w:val="0"/>
          <w:color w:val="000000" w:themeColor="text1"/>
          <w:sz w:val="24"/>
          <w:szCs w:val="24"/>
          <w:highlight w:val="none"/>
          <w:vertAlign w:val="subscript"/>
          <w:lang w:val="en-US" w:eastAsia="zh-CN"/>
          <w14:textFill>
            <w14:solidFill>
              <w14:schemeClr w14:val="tx1"/>
            </w14:solidFill>
          </w14:textFill>
        </w:rPr>
        <w:t>F</w:t>
      </w:r>
      <w:r>
        <w:rPr>
          <w:rFonts w:hint="default" w:ascii="Times New Roman" w:hAnsi="Times New Roman" w:eastAsia="宋体" w:cs="Times New Roman"/>
          <w:i/>
          <w:iCs/>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32"/>
          <w:szCs w:val="32"/>
          <w:highlight w:val="none"/>
          <w:lang w:val="en-US" w:eastAsia="zh-CN"/>
          <w14:textFill>
            <w14:solidFill>
              <w14:schemeClr w14:val="tx1"/>
            </w14:solidFill>
          </w14:textFill>
        </w:rPr>
        <w:t>=</w:t>
      </w:r>
      <m:oMath>
        <m:r>
          <m:rPr>
            <m:sty m:val="p"/>
          </m:rPr>
          <w:rPr>
            <w:rFonts w:hint="default" w:ascii="Cambria Math" w:hAnsi="Cambria Math" w:eastAsia="宋体" w:cs="Times New Roman"/>
            <w:color w:val="000000" w:themeColor="text1"/>
            <w:sz w:val="36"/>
            <w:szCs w:val="32"/>
            <w:highlight w:val="none"/>
            <w:lang w:val="en-US" w:eastAsia="zh-CN"/>
            <w14:textFill>
              <w14:solidFill>
                <w14:schemeClr w14:val="tx1"/>
              </w14:solidFill>
            </w14:textFill>
          </w:rPr>
          <m:t xml:space="preserve"> </m:t>
        </m:r>
        <m:f>
          <m:fPr>
            <m:ctrlPr>
              <w:rPr>
                <w:rFonts w:hint="default" w:ascii="Cambria Math" w:hAnsi="Cambria Math" w:eastAsia="宋体" w:cs="Times New Roman"/>
                <w:i/>
                <w:color w:val="000000" w:themeColor="text1"/>
                <w:sz w:val="36"/>
                <w:szCs w:val="36"/>
                <w:highlight w:val="none"/>
                <w:lang w:val="en-US"/>
                <w14:textFill>
                  <w14:solidFill>
                    <w14:schemeClr w14:val="tx1"/>
                  </w14:solidFill>
                </w14:textFill>
              </w:rPr>
            </m:ctrlPr>
          </m:fPr>
          <m:num>
            <m:r>
              <m:rPr/>
              <w:rPr>
                <w:rFonts w:hint="default" w:ascii="Cambria Math" w:hAnsi="Cambria Math" w:eastAsia="宋体" w:cs="Times New Roman"/>
                <w:color w:val="000000" w:themeColor="text1"/>
                <w:sz w:val="36"/>
                <w:szCs w:val="36"/>
                <w:highlight w:val="none"/>
                <w:lang w:val="en-US" w:eastAsia="zh-CN"/>
                <w14:textFill>
                  <w14:solidFill>
                    <w14:schemeClr w14:val="tx1"/>
                  </w14:solidFill>
                </w14:textFill>
              </w:rPr>
              <m:t>V</m:t>
            </m:r>
            <m:ctrlPr>
              <w:rPr>
                <w:rFonts w:hint="default" w:ascii="Cambria Math" w:hAnsi="Cambria Math" w:eastAsia="宋体" w:cs="Times New Roman"/>
                <w:i/>
                <w:color w:val="000000" w:themeColor="text1"/>
                <w:sz w:val="36"/>
                <w:szCs w:val="36"/>
                <w:highlight w:val="none"/>
                <w:lang w:val="en-US"/>
                <w14:textFill>
                  <w14:solidFill>
                    <w14:schemeClr w14:val="tx1"/>
                  </w14:solidFill>
                </w14:textFill>
              </w:rPr>
            </m:ctrlPr>
          </m:num>
          <m:den>
            <m:r>
              <m:rPr/>
              <w:rPr>
                <w:rFonts w:hint="default" w:ascii="Cambria Math" w:hAnsi="Cambria Math" w:eastAsia="宋体" w:cs="Times New Roman"/>
                <w:color w:val="000000" w:themeColor="text1"/>
                <w:sz w:val="36"/>
                <w:szCs w:val="36"/>
                <w:highlight w:val="none"/>
                <w:lang w:val="en-US" w:eastAsia="zh-CN"/>
                <w14:textFill>
                  <w14:solidFill>
                    <w14:schemeClr w14:val="tx1"/>
                  </w14:solidFill>
                </w14:textFill>
              </w:rPr>
              <m:t>G</m:t>
            </m:r>
            <m:ctrlPr>
              <w:rPr>
                <w:rFonts w:hint="default" w:ascii="Cambria Math" w:hAnsi="Cambria Math" w:eastAsia="宋体" w:cs="Times New Roman"/>
                <w:i/>
                <w:color w:val="000000" w:themeColor="text1"/>
                <w:sz w:val="36"/>
                <w:szCs w:val="36"/>
                <w:highlight w:val="none"/>
                <w:lang w:val="en-US"/>
                <w14:textFill>
                  <w14:solidFill>
                    <w14:schemeClr w14:val="tx1"/>
                  </w14:solidFill>
                </w14:textFill>
              </w:rPr>
            </m:ctrlPr>
          </m:den>
        </m:f>
      </m:oMath>
      <w:r>
        <w:rPr>
          <w:rFonts w:hint="default" w:ascii="Times New Roman" w:hAnsi="Times New Roman" w:eastAsia="宋体" w:cs="Times New Roman"/>
          <w:i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宋体" w:cs="Times New Roman"/>
          <w:i w:val="0"/>
          <w:color w:val="000000" w:themeColor="text1"/>
          <w:sz w:val="24"/>
          <w:szCs w:val="24"/>
          <w:highlight w:val="none"/>
          <w:lang w:val="en-US" w:eastAsia="zh-CN"/>
          <w14:textFill>
            <w14:solidFill>
              <w14:schemeClr w14:val="tx1"/>
            </w14:solidFill>
          </w14:textFill>
        </w:rPr>
        <w:t>10</w:t>
      </w:r>
      <w:r>
        <w:rPr>
          <w:rFonts w:hint="default" w:ascii="Times New Roman" w:hAnsi="Times New Roman" w:eastAsia="宋体" w:cs="Times New Roman"/>
          <w:color w:val="000000" w:themeColor="text1"/>
          <w:sz w:val="32"/>
          <w:szCs w:val="32"/>
          <w:highlight w:val="none"/>
          <w:lang w:val="de-D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de-DE"/>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A</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0.6</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14:paraId="18266957">
      <w:pPr>
        <w:keepNext w:val="0"/>
        <w:keepLines w:val="0"/>
        <w:pageBreakBefore w:val="0"/>
        <w:widowControl w:val="0"/>
        <w:kinsoku/>
        <w:wordWrap/>
        <w:overflowPunct/>
        <w:topLinePunct w:val="0"/>
        <w:autoSpaceDE/>
        <w:autoSpaceDN/>
        <w:bidi w:val="0"/>
        <w:adjustRightInd w:val="0"/>
        <w:snapToGrid/>
        <w:spacing w:line="400" w:lineRule="exact"/>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式中：</w:t>
      </w:r>
    </w:p>
    <w:p w14:paraId="0E18FA42">
      <w:pPr>
        <w:keepNext w:val="0"/>
        <w:keepLines w:val="0"/>
        <w:pageBreakBefore w:val="0"/>
        <w:widowControl w:val="0"/>
        <w:kinsoku/>
        <w:wordWrap/>
        <w:overflowPunct/>
        <w:topLinePunct w:val="0"/>
        <w:autoSpaceDE/>
        <w:autoSpaceDN/>
        <w:bidi w:val="0"/>
        <w:adjustRightInd w:val="0"/>
        <w:snapToGrid/>
        <w:spacing w:line="400" w:lineRule="exact"/>
        <w:ind w:firstLine="420"/>
        <w:textAlignment w:val="auto"/>
        <w:outlineLvl w:val="9"/>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i w:val="0"/>
          <w:iCs w:val="0"/>
          <w:color w:val="000000" w:themeColor="text1"/>
          <w:sz w:val="24"/>
          <w:szCs w:val="24"/>
          <w:highlight w:val="none"/>
          <w:lang w:val="en-US" w:eastAsia="zh-CN"/>
          <w14:textFill>
            <w14:solidFill>
              <w14:schemeClr w14:val="tx1"/>
            </w14:solidFill>
          </w14:textFill>
        </w:rPr>
        <w:t>MB</w:t>
      </w:r>
      <w:r>
        <w:rPr>
          <w:rFonts w:hint="default" w:ascii="Times New Roman" w:hAnsi="Times New Roman" w:eastAsia="宋体" w:cs="Times New Roman"/>
          <w:i w:val="0"/>
          <w:iCs w:val="0"/>
          <w:color w:val="000000" w:themeColor="text1"/>
          <w:sz w:val="24"/>
          <w:szCs w:val="24"/>
          <w:highlight w:val="none"/>
          <w:vertAlign w:val="subscript"/>
          <w:lang w:val="en-US" w:eastAsia="zh-CN"/>
          <w14:textFill>
            <w14:solidFill>
              <w14:schemeClr w14:val="tx1"/>
            </w14:solidFill>
          </w14:textFill>
        </w:rPr>
        <w:t>F</w:t>
      </w:r>
      <w:r>
        <w:rPr>
          <w:rFonts w:hint="default" w:ascii="Times New Roman" w:hAnsi="Times New Roman" w:eastAsia="宋体" w:cs="Times New Roman"/>
          <w:color w:val="000000" w:themeColor="text1"/>
          <w:sz w:val="24"/>
          <w:szCs w:val="24"/>
          <w:highlight w:val="none"/>
          <w14:textFill>
            <w14:solidFill>
              <w14:schemeClr w14:val="tx1"/>
            </w14:solidFill>
          </w14:textFill>
        </w:rPr>
        <w:t>——亚甲蓝值</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单位为克每千克（</w:t>
      </w:r>
      <w:r>
        <w:rPr>
          <w:rFonts w:hint="default" w:ascii="Times New Roman" w:hAnsi="Times New Roman" w:eastAsia="宋体" w:cs="Times New Roman"/>
          <w:color w:val="000000" w:themeColor="text1"/>
          <w:sz w:val="24"/>
          <w:szCs w:val="24"/>
          <w:highlight w:val="none"/>
          <w14:textFill>
            <w14:solidFill>
              <w14:schemeClr w14:val="tx1"/>
            </w14:solidFill>
          </w14:textFill>
        </w:rPr>
        <w:t>g/kg</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14:paraId="1CBCE3C7">
      <w:pPr>
        <w:keepNext w:val="0"/>
        <w:keepLines w:val="0"/>
        <w:pageBreakBefore w:val="0"/>
        <w:widowControl w:val="0"/>
        <w:kinsoku/>
        <w:wordWrap/>
        <w:overflowPunct/>
        <w:topLinePunct w:val="0"/>
        <w:autoSpaceDE/>
        <w:autoSpaceDN/>
        <w:bidi w:val="0"/>
        <w:adjustRightInd w:val="0"/>
        <w:snapToGrid/>
        <w:spacing w:line="400" w:lineRule="exact"/>
        <w:ind w:firstLine="420"/>
        <w:textAlignment w:val="auto"/>
        <w:outlineLvl w:val="9"/>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i/>
          <w:iCs/>
          <w:color w:val="000000" w:themeColor="text1"/>
          <w:sz w:val="24"/>
          <w:szCs w:val="24"/>
          <w:highlight w:val="none"/>
          <w14:textFill>
            <w14:solidFill>
              <w14:schemeClr w14:val="tx1"/>
            </w14:solidFill>
          </w14:textFill>
        </w:rPr>
        <w:t>V</w:t>
      </w:r>
      <w:r>
        <w:rPr>
          <w:rFonts w:hint="default" w:ascii="Times New Roman" w:hAnsi="Times New Roman" w:eastAsia="宋体" w:cs="Times New Roman"/>
          <w:color w:val="000000" w:themeColor="text1"/>
          <w:sz w:val="24"/>
          <w:szCs w:val="24"/>
          <w:highlight w:val="none"/>
          <w14:textFill>
            <w14:solidFill>
              <w14:schemeClr w14:val="tx1"/>
            </w14:solidFill>
          </w14:textFill>
        </w:rPr>
        <w:t>——所加入的亚甲蓝溶液的总量</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单位为毫升（</w:t>
      </w:r>
      <w:r>
        <w:rPr>
          <w:rFonts w:hint="default" w:ascii="Times New Roman" w:hAnsi="Times New Roman" w:eastAsia="宋体" w:cs="Times New Roman"/>
          <w:color w:val="000000" w:themeColor="text1"/>
          <w:sz w:val="24"/>
          <w:szCs w:val="24"/>
          <w:highlight w:val="none"/>
          <w14:textFill>
            <w14:solidFill>
              <w14:schemeClr w14:val="tx1"/>
            </w14:solidFill>
          </w14:textFill>
        </w:rPr>
        <w:t>mL）</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56E8F0EA">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textAlignment w:val="auto"/>
        <w:outlineLvl w:val="9"/>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i/>
          <w:iCs/>
          <w:color w:val="000000" w:themeColor="text1"/>
          <w:sz w:val="24"/>
          <w:szCs w:val="24"/>
          <w:highlight w:val="none"/>
          <w14:textFill>
            <w14:solidFill>
              <w14:schemeClr w14:val="tx1"/>
            </w14:solidFill>
          </w14:textFill>
        </w:rPr>
        <w:t>G</w:t>
      </w:r>
      <w:r>
        <w:rPr>
          <w:rFonts w:hint="default" w:ascii="Times New Roman" w:hAnsi="Times New Roman" w:eastAsia="宋体" w:cs="Times New Roman"/>
          <w:color w:val="000000" w:themeColor="text1"/>
          <w:sz w:val="24"/>
          <w:szCs w:val="24"/>
          <w:highlight w:val="none"/>
          <w14:textFill>
            <w14:solidFill>
              <w14:schemeClr w14:val="tx1"/>
            </w14:solidFill>
          </w14:textFill>
        </w:rPr>
        <w:t>——试样质量</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单位为克</w:t>
      </w:r>
      <w:r>
        <w:rPr>
          <w:rFonts w:hint="default" w:ascii="Times New Roman" w:hAnsi="Times New Roman" w:eastAsia="宋体" w:cs="Times New Roman"/>
          <w:color w:val="000000" w:themeColor="text1"/>
          <w:sz w:val="24"/>
          <w:szCs w:val="24"/>
          <w:highlight w:val="none"/>
          <w14:textFill>
            <w14:solidFill>
              <w14:schemeClr w14:val="tx1"/>
            </w14:solidFill>
          </w14:textFill>
        </w:rPr>
        <w:t>（g）</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6FA71034">
      <w:pPr>
        <w:keepNext w:val="0"/>
        <w:keepLines w:val="0"/>
        <w:pageBreakBefore w:val="0"/>
        <w:kinsoku/>
        <w:topLinePunct w:val="0"/>
        <w:bidi w:val="0"/>
        <w:spacing w:line="400" w:lineRule="exact"/>
        <w:ind w:firstLine="480" w:firstLineChars="200"/>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换算系数，</w:t>
      </w:r>
      <w:r>
        <w:rPr>
          <w:rFonts w:hint="default" w:ascii="Times New Roman" w:hAnsi="Times New Roman" w:eastAsia="宋体" w:cs="Times New Roman"/>
          <w:color w:val="000000" w:themeColor="text1"/>
          <w:sz w:val="24"/>
          <w:szCs w:val="24"/>
          <w:highlight w:val="none"/>
          <w14:textFill>
            <w14:solidFill>
              <w14:schemeClr w14:val="tx1"/>
            </w14:solidFill>
          </w14:textFill>
        </w:rPr>
        <w:t>每千克试样消耗的亚甲蓝溶液体积换算成亚甲蓝质量</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14:paraId="2BA03A52">
      <w:pPr>
        <w:pStyle w:val="86"/>
        <w:keepNext w:val="0"/>
        <w:keepLines w:val="0"/>
        <w:pageBreakBefore w:val="0"/>
        <w:widowControl/>
        <w:numPr>
          <w:ilvl w:val="0"/>
          <w:numId w:val="23"/>
        </w:numPr>
        <w:kinsoku/>
        <w:wordWrap w:val="0"/>
        <w:overflowPunct w:val="0"/>
        <w:topLinePunct w:val="0"/>
        <w:autoSpaceDE w:val="0"/>
        <w:autoSpaceDN w:val="0"/>
        <w:bidi w:val="0"/>
        <w:adjustRightInd/>
        <w:snapToGrid/>
        <w:spacing w:before="0" w:beforeLines="0" w:after="0" w:afterLines="0" w:line="400" w:lineRule="exact"/>
        <w:ind w:left="0" w:leftChars="0" w:firstLine="403" w:firstLineChars="0"/>
        <w:textAlignment w:val="baseline"/>
        <w:outlineLvl w:val="9"/>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pP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花岗岩</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石粉亚甲蓝</w:t>
      </w:r>
      <w:r>
        <w:rPr>
          <w:rFonts w:hint="eastAsia"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值</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（MB</w:t>
      </w:r>
      <w:r>
        <w:rPr>
          <w:rFonts w:hint="default" w:ascii="Times New Roman" w:hAnsi="Times New Roman" w:eastAsia="宋体" w:cs="Times New Roman"/>
          <w:b w:val="0"/>
          <w:i w:val="0"/>
          <w:color w:val="000000" w:themeColor="text1"/>
          <w:kern w:val="21"/>
          <w:sz w:val="24"/>
          <w:szCs w:val="24"/>
          <w:highlight w:val="none"/>
          <w:vertAlign w:val="subscript"/>
          <w:lang w:val="en-US" w:eastAsia="zh-CN" w:bidi="ar-SA"/>
          <w14:textFill>
            <w14:solidFill>
              <w14:schemeClr w14:val="tx1"/>
            </w14:solidFill>
          </w14:textFill>
        </w:rPr>
        <w:t>F</w:t>
      </w:r>
      <w:r>
        <w:rPr>
          <w:rFonts w:hint="default" w:ascii="Times New Roman" w:hAnsi="Times New Roman" w:eastAsia="宋体" w:cs="Times New Roman"/>
          <w:b w:val="0"/>
          <w:i w:val="0"/>
          <w:color w:val="000000" w:themeColor="text1"/>
          <w:kern w:val="21"/>
          <w:sz w:val="24"/>
          <w:szCs w:val="24"/>
          <w:highlight w:val="none"/>
          <w:lang w:val="en-US" w:eastAsia="zh-CN" w:bidi="ar-SA"/>
          <w14:textFill>
            <w14:solidFill>
              <w14:schemeClr w14:val="tx1"/>
            </w14:solidFill>
          </w14:textFill>
        </w:rPr>
        <w:t>值）取2次试验结果的算术平均值，精确至0.1。</w:t>
      </w:r>
    </w:p>
    <w:p w14:paraId="3F2C5ED4">
      <w:pPr>
        <w:ind w:left="0" w:leftChars="0" w:firstLine="0" w:firstLineChars="0"/>
        <w:rPr>
          <w:rFonts w:ascii="Times New Roman" w:hAnsi="Times New Roman"/>
          <w:highlight w:val="none"/>
        </w:rPr>
      </w:pPr>
    </w:p>
    <w:p w14:paraId="45E339D1">
      <w:pPr>
        <w:ind w:left="0" w:leftChars="0" w:firstLine="0" w:firstLineChars="0"/>
        <w:rPr>
          <w:rFonts w:ascii="Times New Roman" w:hAnsi="Times New Roman"/>
          <w:highlight w:val="none"/>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14:paraId="66FF406C">
      <w:pPr>
        <w:ind w:left="0" w:leftChars="0" w:firstLine="0" w:firstLineChars="0"/>
        <w:jc w:val="center"/>
        <w:rPr>
          <w:rFonts w:hint="default" w:ascii="Times New Roman" w:hAnsi="Times New Roman" w:eastAsia="宋体" w:cs="Times New Roman"/>
          <w:b/>
          <w:bCs/>
          <w:sz w:val="32"/>
          <w:szCs w:val="32"/>
          <w:highlight w:val="none"/>
          <w:lang w:val="en-US" w:eastAsia="zh-CN"/>
        </w:rPr>
      </w:pPr>
      <w:r>
        <w:rPr>
          <w:rFonts w:hint="default" w:ascii="Times New Roman" w:hAnsi="Times New Roman" w:eastAsia="宋体" w:cs="Times New Roman"/>
          <w:b/>
          <w:bCs/>
          <w:sz w:val="32"/>
          <w:szCs w:val="32"/>
          <w:highlight w:val="none"/>
          <w:lang w:val="en-US" w:eastAsia="zh-CN"/>
        </w:rPr>
        <w:t>用词说明</w:t>
      </w:r>
    </w:p>
    <w:p w14:paraId="1FD6F064">
      <w:pPr>
        <w:spacing w:before="156" w:beforeLines="50"/>
        <w:ind w:left="0" w:leftChars="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为便于在执行本</w:t>
      </w:r>
      <w:r>
        <w:rPr>
          <w:rFonts w:hint="default" w:ascii="Times New Roman" w:hAnsi="Times New Roman" w:eastAsia="宋体" w:cs="Times New Roman"/>
          <w:color w:val="auto"/>
          <w:sz w:val="24"/>
          <w:szCs w:val="24"/>
          <w:highlight w:val="none"/>
          <w:lang w:val="en-US" w:eastAsia="zh-CN"/>
        </w:rPr>
        <w:t>规范</w:t>
      </w:r>
      <w:r>
        <w:rPr>
          <w:rFonts w:hint="default" w:ascii="Times New Roman" w:hAnsi="Times New Roman" w:eastAsia="宋体" w:cs="Times New Roman"/>
          <w:color w:val="auto"/>
          <w:sz w:val="24"/>
          <w:szCs w:val="24"/>
          <w:highlight w:val="none"/>
        </w:rPr>
        <w:t>条文时区别对待，对要求严格程度不同的用词说明如下：</w:t>
      </w:r>
    </w:p>
    <w:p w14:paraId="64577B9E">
      <w:pPr>
        <w:numPr>
          <w:ilvl w:val="0"/>
          <w:numId w:val="24"/>
        </w:numPr>
        <w:spacing w:before="156" w:beforeLines="50"/>
        <w:ind w:left="0" w:leftChars="0" w:firstLine="403" w:firstLineChars="0"/>
        <w:outlineLvl w:val="9"/>
        <w:rPr>
          <w:rFonts w:hint="default" w:ascii="Times New Roman" w:hAnsi="Times New Roman" w:eastAsia="宋体" w:cs="Times New Roman"/>
          <w:color w:val="auto"/>
          <w:sz w:val="24"/>
          <w:szCs w:val="24"/>
          <w:highlight w:val="none"/>
        </w:rPr>
      </w:pPr>
      <w:bookmarkStart w:id="75" w:name="_Toc9388"/>
      <w:r>
        <w:rPr>
          <w:rFonts w:hint="default" w:ascii="Times New Roman" w:hAnsi="Times New Roman" w:eastAsia="宋体" w:cs="Times New Roman"/>
          <w:color w:val="auto"/>
          <w:sz w:val="24"/>
          <w:szCs w:val="24"/>
          <w:highlight w:val="none"/>
        </w:rPr>
        <w:t>表示很严格，非这样做不可的：</w:t>
      </w:r>
      <w:bookmarkEnd w:id="75"/>
    </w:p>
    <w:p w14:paraId="0BDECB24">
      <w:pPr>
        <w:spacing w:before="156" w:beforeLines="50"/>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  正面词采用“必须”，反面词采用“严禁”；</w:t>
      </w:r>
    </w:p>
    <w:p w14:paraId="67831059">
      <w:pPr>
        <w:numPr>
          <w:ilvl w:val="0"/>
          <w:numId w:val="24"/>
        </w:numPr>
        <w:spacing w:before="156" w:beforeLines="50"/>
        <w:ind w:left="0" w:leftChars="0" w:firstLine="403" w:firstLineChars="0"/>
        <w:outlineLvl w:val="9"/>
        <w:rPr>
          <w:rFonts w:hint="default" w:ascii="Times New Roman" w:hAnsi="Times New Roman" w:eastAsia="宋体" w:cs="Times New Roman"/>
          <w:color w:val="auto"/>
          <w:sz w:val="24"/>
          <w:szCs w:val="24"/>
          <w:highlight w:val="none"/>
        </w:rPr>
      </w:pPr>
      <w:bookmarkStart w:id="76" w:name="_Toc8935"/>
      <w:r>
        <w:rPr>
          <w:rFonts w:hint="default" w:ascii="Times New Roman" w:hAnsi="Times New Roman" w:eastAsia="宋体" w:cs="Times New Roman"/>
          <w:color w:val="auto"/>
          <w:sz w:val="24"/>
          <w:szCs w:val="24"/>
          <w:highlight w:val="none"/>
        </w:rPr>
        <w:t>表示严格，在正常情况下均应这样做的：</w:t>
      </w:r>
      <w:bookmarkEnd w:id="76"/>
    </w:p>
    <w:p w14:paraId="5E6C0E8D">
      <w:pPr>
        <w:spacing w:before="156" w:beforeLines="50"/>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  正面词采用“应”，反面词采用“不应”或“不得”；</w:t>
      </w:r>
    </w:p>
    <w:p w14:paraId="70EF1E5D">
      <w:pPr>
        <w:numPr>
          <w:ilvl w:val="0"/>
          <w:numId w:val="24"/>
        </w:numPr>
        <w:spacing w:before="156" w:beforeLines="50"/>
        <w:ind w:left="0" w:leftChars="0" w:firstLine="403" w:firstLineChars="0"/>
        <w:outlineLvl w:val="9"/>
        <w:rPr>
          <w:rFonts w:hint="default" w:ascii="Times New Roman" w:hAnsi="Times New Roman" w:eastAsia="宋体" w:cs="Times New Roman"/>
          <w:color w:val="auto"/>
          <w:sz w:val="24"/>
          <w:szCs w:val="24"/>
          <w:highlight w:val="none"/>
        </w:rPr>
      </w:pPr>
      <w:bookmarkStart w:id="77" w:name="_Toc4387"/>
      <w:r>
        <w:rPr>
          <w:rFonts w:hint="default" w:ascii="Times New Roman" w:hAnsi="Times New Roman" w:eastAsia="宋体" w:cs="Times New Roman"/>
          <w:color w:val="auto"/>
          <w:sz w:val="24"/>
          <w:szCs w:val="24"/>
          <w:highlight w:val="none"/>
        </w:rPr>
        <w:t>表示允许稍有选择，在条件许可时，首先应这样做的：</w:t>
      </w:r>
      <w:bookmarkEnd w:id="77"/>
    </w:p>
    <w:p w14:paraId="139C991E">
      <w:pPr>
        <w:spacing w:before="156" w:beforeLines="50"/>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  正面词采用“宜”，反面词采用“不宜”；</w:t>
      </w:r>
    </w:p>
    <w:p w14:paraId="30296722">
      <w:pPr>
        <w:numPr>
          <w:ilvl w:val="0"/>
          <w:numId w:val="24"/>
        </w:numPr>
        <w:spacing w:before="156" w:beforeLines="50"/>
        <w:ind w:left="0" w:leftChars="0" w:firstLine="403" w:firstLineChars="0"/>
        <w:outlineLvl w:val="9"/>
        <w:rPr>
          <w:rFonts w:hint="default" w:ascii="Times New Roman Regular" w:hAnsi="Times New Roman Regular" w:cs="Times New Roman Regular"/>
          <w:color w:val="auto"/>
          <w:highlight w:val="none"/>
        </w:rPr>
      </w:pPr>
      <w:bookmarkStart w:id="78" w:name="_Toc32664"/>
      <w:r>
        <w:rPr>
          <w:rFonts w:hint="default" w:ascii="Times New Roman" w:hAnsi="Times New Roman" w:eastAsia="宋体" w:cs="Times New Roman"/>
          <w:color w:val="auto"/>
          <w:sz w:val="24"/>
          <w:szCs w:val="24"/>
          <w:highlight w:val="none"/>
        </w:rPr>
        <w:t>表示有选择，在一定条件下可以这样做的，采用“可”</w:t>
      </w:r>
      <w:r>
        <w:rPr>
          <w:rFonts w:hint="default" w:ascii="Times New Roman Regular" w:hAnsi="Times New Roman Regular" w:cs="Times New Roman Regular"/>
          <w:color w:val="auto"/>
          <w:highlight w:val="none"/>
        </w:rPr>
        <w:t>。</w:t>
      </w:r>
      <w:bookmarkEnd w:id="78"/>
    </w:p>
    <w:p w14:paraId="5A17DB45">
      <w:pPr>
        <w:numPr>
          <w:ilvl w:val="0"/>
          <w:numId w:val="0"/>
        </w:numPr>
        <w:spacing w:before="156" w:beforeLines="50"/>
        <w:outlineLvl w:val="9"/>
        <w:rPr>
          <w:rFonts w:ascii="Times New Roman" w:hAnsi="Times New Roman"/>
          <w:highlight w:val="none"/>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14:paraId="54D6BF1D">
      <w:pPr>
        <w:numPr>
          <w:ilvl w:val="0"/>
          <w:numId w:val="0"/>
        </w:numPr>
        <w:spacing w:before="156" w:beforeLines="50"/>
        <w:jc w:val="center"/>
        <w:rPr>
          <w:rFonts w:hint="default" w:ascii="Times New Roman Regular" w:hAnsi="Times New Roman Regular" w:cs="Times New Roman Regular"/>
          <w:b/>
          <w:bCs/>
          <w:color w:val="auto"/>
          <w:sz w:val="32"/>
          <w:szCs w:val="32"/>
          <w:highlight w:val="none"/>
        </w:rPr>
      </w:pPr>
      <w:bookmarkStart w:id="79" w:name="_Toc22264"/>
      <w:bookmarkStart w:id="80" w:name="_Toc27021"/>
      <w:bookmarkStart w:id="81" w:name="_Toc32720"/>
      <w:bookmarkStart w:id="82" w:name="_Toc73947000"/>
      <w:bookmarkStart w:id="83" w:name="_Toc894422633"/>
      <w:r>
        <w:rPr>
          <w:rFonts w:hint="default" w:ascii="Times New Roman Regular" w:hAnsi="Times New Roman Regular" w:cs="Times New Roman Regular"/>
          <w:b/>
          <w:bCs/>
          <w:color w:val="auto"/>
          <w:sz w:val="32"/>
          <w:szCs w:val="32"/>
          <w:highlight w:val="none"/>
        </w:rPr>
        <w:t>引用标准名录</w:t>
      </w:r>
      <w:bookmarkEnd w:id="79"/>
      <w:bookmarkEnd w:id="80"/>
      <w:bookmarkEnd w:id="81"/>
      <w:bookmarkEnd w:id="82"/>
      <w:bookmarkEnd w:id="83"/>
    </w:p>
    <w:p w14:paraId="2A4FFF26">
      <w:pPr>
        <w:keepNext w:val="0"/>
        <w:keepLines w:val="0"/>
        <w:pageBreakBefore w:val="0"/>
        <w:widowControl/>
        <w:numPr>
          <w:ilvl w:val="0"/>
          <w:numId w:val="0"/>
        </w:numPr>
        <w:kinsoku/>
        <w:wordWrap/>
        <w:overflowPunct/>
        <w:topLinePunct w:val="0"/>
        <w:autoSpaceDE w:val="0"/>
        <w:autoSpaceDN w:val="0"/>
        <w:bidi w:val="0"/>
        <w:adjustRightInd/>
        <w:spacing w:line="400" w:lineRule="exact"/>
        <w:ind w:firstLine="480" w:firstLineChars="200"/>
        <w:textAlignment w:val="auto"/>
        <w:rPr>
          <w:rFonts w:ascii="Times New Roman" w:hAnsi="Times New Roman"/>
          <w:sz w:val="24"/>
          <w:szCs w:val="24"/>
          <w:highlight w:val="none"/>
        </w:rPr>
      </w:pPr>
      <w:r>
        <w:rPr>
          <w:color w:val="000000" w:themeColor="text1"/>
          <w:kern w:val="0"/>
          <w:sz w:val="24"/>
          <w:szCs w:val="24"/>
          <w:highlight w:val="none"/>
          <w14:textFill>
            <w14:solidFill>
              <w14:schemeClr w14:val="tx1"/>
            </w14:solidFill>
          </w14:textFill>
        </w:rPr>
        <w:t>下列文件中的</w:t>
      </w:r>
      <w:r>
        <w:rPr>
          <w:rFonts w:hint="eastAsia"/>
          <w:color w:val="000000" w:themeColor="text1"/>
          <w:kern w:val="0"/>
          <w:sz w:val="24"/>
          <w:szCs w:val="24"/>
          <w:highlight w:val="none"/>
          <w:lang w:val="en-US" w:eastAsia="zh-CN"/>
          <w14:textFill>
            <w14:solidFill>
              <w14:schemeClr w14:val="tx1"/>
            </w14:solidFill>
          </w14:textFill>
        </w:rPr>
        <w:t>内容</w:t>
      </w:r>
      <w:r>
        <w:rPr>
          <w:color w:val="000000" w:themeColor="text1"/>
          <w:kern w:val="0"/>
          <w:sz w:val="24"/>
          <w:szCs w:val="24"/>
          <w:highlight w:val="none"/>
          <w14:textFill>
            <w14:solidFill>
              <w14:schemeClr w14:val="tx1"/>
            </w14:solidFill>
          </w14:textFill>
        </w:rPr>
        <w:t>通过</w:t>
      </w:r>
      <w:r>
        <w:rPr>
          <w:rFonts w:hint="eastAsia"/>
          <w:color w:val="000000" w:themeColor="text1"/>
          <w:kern w:val="0"/>
          <w:sz w:val="24"/>
          <w:szCs w:val="24"/>
          <w:highlight w:val="none"/>
          <w:lang w:val="en-US" w:eastAsia="zh-CN"/>
          <w14:textFill>
            <w14:solidFill>
              <w14:schemeClr w14:val="tx1"/>
            </w14:solidFill>
          </w14:textFill>
        </w:rPr>
        <w:t>文中的规范性引用而构成本文件必不可少的条款。其中，</w:t>
      </w:r>
      <w:r>
        <w:rPr>
          <w:color w:val="000000" w:themeColor="text1"/>
          <w:kern w:val="0"/>
          <w:sz w:val="24"/>
          <w:szCs w:val="24"/>
          <w:highlight w:val="none"/>
          <w14:textFill>
            <w14:solidFill>
              <w14:schemeClr w14:val="tx1"/>
            </w14:solidFill>
          </w14:textFill>
        </w:rPr>
        <w:t>注日期的引用文件，</w:t>
      </w:r>
      <w:r>
        <w:rPr>
          <w:rFonts w:hint="eastAsia"/>
          <w:color w:val="000000" w:themeColor="text1"/>
          <w:kern w:val="0"/>
          <w:sz w:val="24"/>
          <w:szCs w:val="24"/>
          <w:highlight w:val="none"/>
          <w:lang w:val="en-US" w:eastAsia="zh-CN"/>
          <w14:textFill>
            <w14:solidFill>
              <w14:schemeClr w14:val="tx1"/>
            </w14:solidFill>
          </w14:textFill>
        </w:rPr>
        <w:t>仅该日期对应的版本适用于本文件；不注日期的引用文件，其最新版本（包括所有的修改单）适用于本文件</w:t>
      </w:r>
      <w:r>
        <w:rPr>
          <w:rFonts w:hint="eastAsia" w:cs="宋体"/>
          <w:color w:val="000000" w:themeColor="text1"/>
          <w:sz w:val="24"/>
          <w:szCs w:val="24"/>
          <w:highlight w:val="none"/>
          <w14:textFill>
            <w14:solidFill>
              <w14:schemeClr w14:val="tx1"/>
            </w14:solidFill>
          </w14:textFill>
        </w:rPr>
        <w:t>。</w:t>
      </w:r>
    </w:p>
    <w:p w14:paraId="3815238B">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《建筑施工机械与设备 混凝土搅拌站（楼）》GB/T 10171</w:t>
      </w:r>
    </w:p>
    <w:p w14:paraId="782E6156">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《普通混凝土拌合物性能试验方法标准》GB/T 50080</w:t>
      </w:r>
    </w:p>
    <w:p w14:paraId="16134BEA">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《普通混凝土力学性能试验方法标准》GB/T 50081</w:t>
      </w:r>
    </w:p>
    <w:p w14:paraId="275FDDBF">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《普通混凝土长期性能和耐久性能试验方法标准》GB/T 50082</w:t>
      </w:r>
    </w:p>
    <w:p w14:paraId="2EB20675">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《混凝土强度检验评定标准》GB/T 50107</w:t>
      </w:r>
    </w:p>
    <w:p w14:paraId="16F2D3D1">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《混凝土外加剂应用技术规范》GB 50119</w:t>
      </w:r>
    </w:p>
    <w:p w14:paraId="68AB89B2">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《混凝土质量控制标准》GB 50164</w:t>
      </w:r>
    </w:p>
    <w:p w14:paraId="35907481">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《混凝土结构工程施工质量验收规范》GB 50204</w:t>
      </w:r>
    </w:p>
    <w:p w14:paraId="6685B107">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w:hAnsi="Times New Roman" w:cs="Times New Roman"/>
          <w:b w:val="0"/>
          <w:bCs w:val="0"/>
          <w:sz w:val="24"/>
          <w:szCs w:val="24"/>
          <w:highlight w:val="none"/>
          <w:lang w:val="en-US" w:eastAsia="zh-CN"/>
        </w:rPr>
        <w:t>《混凝土结构耐久性设计标准》GB/T 50476</w:t>
      </w:r>
    </w:p>
    <w:p w14:paraId="41341CEB">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《大体积混凝土施工</w:t>
      </w:r>
      <w:r>
        <w:rPr>
          <w:rFonts w:hint="eastAsia" w:ascii="Times New Roman Regular" w:hAnsi="Times New Roman Regular" w:cs="Times New Roman Regular"/>
          <w:color w:val="auto"/>
          <w:sz w:val="24"/>
          <w:szCs w:val="24"/>
          <w:highlight w:val="none"/>
          <w:lang w:val="en-US" w:eastAsia="zh-CN"/>
        </w:rPr>
        <w:t>标准</w:t>
      </w:r>
      <w:r>
        <w:rPr>
          <w:rFonts w:hint="default" w:ascii="Times New Roman Regular" w:hAnsi="Times New Roman Regular" w:cs="Times New Roman Regular"/>
          <w:color w:val="auto"/>
          <w:sz w:val="24"/>
          <w:szCs w:val="24"/>
          <w:highlight w:val="none"/>
        </w:rPr>
        <w:t>》GB 50496</w:t>
      </w:r>
    </w:p>
    <w:p w14:paraId="3E31BC8E">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《混凝土结构工程施工规范》GB 50666</w:t>
      </w:r>
    </w:p>
    <w:p w14:paraId="1FABEE58">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《预防混凝土碱骨料反应技术规范》GB/T 50733</w:t>
      </w:r>
    </w:p>
    <w:p w14:paraId="32981A19">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《矿物掺合料应用技术规范》GB/T 51003</w:t>
      </w:r>
    </w:p>
    <w:p w14:paraId="71DEFB1A">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《通用硅酸盐水泥》GB 175</w:t>
      </w:r>
    </w:p>
    <w:p w14:paraId="68BA70A6">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《水泥化学分析方法》GB/T 176</w:t>
      </w:r>
    </w:p>
    <w:p w14:paraId="7EF845BE">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lang w:eastAsia="zh-CN"/>
        </w:rPr>
        <w:t>《水泥细度检验方法 筛析法》</w:t>
      </w:r>
      <w:r>
        <w:rPr>
          <w:rFonts w:hint="default" w:ascii="Times New Roman Regular" w:hAnsi="Times New Roman Regular" w:cs="Times New Roman Regular"/>
          <w:color w:val="auto"/>
          <w:sz w:val="24"/>
          <w:szCs w:val="24"/>
          <w:highlight w:val="none"/>
        </w:rPr>
        <w:t xml:space="preserve">GB/T </w:t>
      </w:r>
      <w:r>
        <w:rPr>
          <w:rFonts w:hint="default" w:ascii="Times New Roman Regular" w:hAnsi="Times New Roman Regular" w:cs="Times New Roman Regular"/>
          <w:color w:val="auto"/>
          <w:sz w:val="24"/>
          <w:szCs w:val="24"/>
          <w:highlight w:val="none"/>
          <w:lang w:val="en-US" w:eastAsia="zh-CN"/>
        </w:rPr>
        <w:t>1345</w:t>
      </w:r>
    </w:p>
    <w:p w14:paraId="5A348BBC">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《建筑材料放射性核素限量》GB 6566</w:t>
      </w:r>
    </w:p>
    <w:p w14:paraId="4379464B">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《混凝土外加剂》GB 8076</w:t>
      </w:r>
    </w:p>
    <w:p w14:paraId="481AC00B">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《混凝土搅拌机》GB/T 9142</w:t>
      </w:r>
    </w:p>
    <w:p w14:paraId="6D3A1456">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《水泥取样方法》GB/T 12573</w:t>
      </w:r>
    </w:p>
    <w:p w14:paraId="6F37DE1F">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《建设用砂》GB/T</w:t>
      </w:r>
      <w:r>
        <w:rPr>
          <w:rFonts w:hint="eastAsia" w:ascii="Times New Roman Regular" w:hAnsi="Times New Roman Regular" w:cs="Times New Roman Regular"/>
          <w:color w:val="auto"/>
          <w:sz w:val="24"/>
          <w:szCs w:val="24"/>
          <w:highlight w:val="none"/>
          <w:lang w:val="en-US" w:eastAsia="zh-CN"/>
        </w:rPr>
        <w:t xml:space="preserve"> </w:t>
      </w:r>
      <w:r>
        <w:rPr>
          <w:rFonts w:hint="default" w:ascii="Times New Roman Regular" w:hAnsi="Times New Roman Regular" w:cs="Times New Roman Regular"/>
          <w:color w:val="auto"/>
          <w:sz w:val="24"/>
          <w:szCs w:val="24"/>
          <w:highlight w:val="none"/>
        </w:rPr>
        <w:t>14684</w:t>
      </w:r>
    </w:p>
    <w:p w14:paraId="4AB75A70">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《建设用碎石、卵石》GB/T 14685</w:t>
      </w:r>
    </w:p>
    <w:p w14:paraId="31106F02">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《预拌混凝土》GB/T 14902</w:t>
      </w:r>
    </w:p>
    <w:p w14:paraId="2455BB9F">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《混凝土膨胀剂》GB 23439</w:t>
      </w:r>
    </w:p>
    <w:p w14:paraId="093C1FA8">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《混凝土搅拌运输车》GB/T 26408</w:t>
      </w:r>
    </w:p>
    <w:p w14:paraId="075E318F">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《用于水泥、砂浆和混凝土中的石灰石粉》GB/T 35164</w:t>
      </w:r>
    </w:p>
    <w:p w14:paraId="2B68EFBF">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eastAsia" w:ascii="Times New Roman" w:hAnsi="Times New Roman" w:eastAsia="宋体" w:cs="Times New Roman"/>
          <w:color w:val="000000"/>
          <w:kern w:val="2"/>
          <w:sz w:val="24"/>
          <w:szCs w:val="24"/>
          <w:highlight w:val="none"/>
          <w:lang w:val="en-US" w:eastAsia="zh-CN" w:bidi="ar-SA"/>
        </w:rPr>
        <w:t>《普通混凝土用砂、石质量及检验方法标准》</w:t>
      </w:r>
      <w:r>
        <w:rPr>
          <w:rFonts w:hint="default" w:ascii="Times New Roman" w:hAnsi="Times New Roman" w:eastAsia="宋体" w:cs="Times New Roman"/>
          <w:color w:val="000000"/>
          <w:kern w:val="2"/>
          <w:sz w:val="24"/>
          <w:szCs w:val="24"/>
          <w:highlight w:val="none"/>
          <w:lang w:val="en-US" w:eastAsia="zh-CN" w:bidi="ar-SA"/>
        </w:rPr>
        <w:t>JGJ 52</w:t>
      </w:r>
    </w:p>
    <w:p w14:paraId="3CA403AB">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《普通混凝土配合比设计规程》JGJ 55</w:t>
      </w:r>
    </w:p>
    <w:p w14:paraId="3F17E514">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《混凝土用水标准》JGJ 63</w:t>
      </w:r>
    </w:p>
    <w:p w14:paraId="29DB1EDC">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《建筑工程冬期施工规程》JGJ/T 104</w:t>
      </w:r>
    </w:p>
    <w:p w14:paraId="5966A2CA">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《混凝土耐久性检验评定标准》JGJ/T 193</w:t>
      </w:r>
    </w:p>
    <w:p w14:paraId="5AF7C626">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《海砂混凝土应用技术规范》JGJ 206</w:t>
      </w:r>
    </w:p>
    <w:p w14:paraId="7A625D9E">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eastAsia" w:ascii="Times New Roman" w:hAnsi="Times New Roman" w:eastAsia="宋体" w:cs="Times New Roman"/>
          <w:color w:val="000000"/>
          <w:kern w:val="2"/>
          <w:sz w:val="24"/>
          <w:szCs w:val="24"/>
          <w:highlight w:val="none"/>
          <w:lang w:val="en-US" w:eastAsia="zh-CN" w:bidi="ar-SA"/>
        </w:rPr>
        <w:t>《聚羧酸系高性能减水剂》</w:t>
      </w:r>
      <w:r>
        <w:rPr>
          <w:rFonts w:hint="default" w:ascii="Times New Roman" w:hAnsi="Times New Roman" w:eastAsia="宋体" w:cs="Times New Roman"/>
          <w:color w:val="000000"/>
          <w:kern w:val="2"/>
          <w:sz w:val="24"/>
          <w:szCs w:val="24"/>
          <w:highlight w:val="none"/>
          <w:lang w:val="en-US" w:eastAsia="zh-CN" w:bidi="ar-SA"/>
        </w:rPr>
        <w:t>JG/T 223</w:t>
      </w:r>
    </w:p>
    <w:p w14:paraId="5F11DA8C">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《高强混凝土应用技术规程》JGJ/T 281</w:t>
      </w:r>
    </w:p>
    <w:p w14:paraId="21FE3275">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default" w:ascii="Times New Roman Regular" w:hAnsi="Times New Roman Regular" w:cs="Times New Roman Regular"/>
          <w:color w:val="auto"/>
          <w:sz w:val="24"/>
          <w:szCs w:val="24"/>
          <w:highlight w:val="none"/>
        </w:rPr>
        <w:t>《预拌混凝土绿色生产及管理技术规程》JGJ/T 328</w:t>
      </w:r>
    </w:p>
    <w:p w14:paraId="74558635">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4"/>
          <w:szCs w:val="24"/>
          <w:highlight w:val="none"/>
        </w:rPr>
      </w:pPr>
      <w:r>
        <w:rPr>
          <w:rFonts w:hint="eastAsia" w:ascii="Times New Roman" w:hAnsi="Times New Roman" w:eastAsia="宋体" w:cs="Times New Roman"/>
          <w:color w:val="000000"/>
          <w:kern w:val="2"/>
          <w:sz w:val="24"/>
          <w:szCs w:val="24"/>
          <w:highlight w:val="none"/>
          <w:lang w:val="en-US" w:eastAsia="zh-CN" w:bidi="ar-SA"/>
        </w:rPr>
        <w:t>《高性能混凝土用骨料》</w:t>
      </w:r>
      <w:r>
        <w:rPr>
          <w:rFonts w:hint="default" w:ascii="Times New Roman" w:hAnsi="Times New Roman" w:eastAsia="宋体" w:cs="Times New Roman"/>
          <w:color w:val="000000"/>
          <w:kern w:val="2"/>
          <w:sz w:val="24"/>
          <w:szCs w:val="24"/>
          <w:highlight w:val="none"/>
          <w:lang w:val="en-US" w:eastAsia="zh-CN" w:bidi="ar-SA"/>
        </w:rPr>
        <w:t>JGJ/T 568</w:t>
      </w:r>
    </w:p>
    <w:p w14:paraId="0E85FE3B">
      <w:pPr>
        <w:pStyle w:val="56"/>
        <w:keepNext w:val="0"/>
        <w:keepLines w:val="0"/>
        <w:pageBreakBefore w:val="0"/>
        <w:widowControl/>
        <w:numPr>
          <w:ilvl w:val="-1"/>
          <w:numId w:val="0"/>
        </w:numPr>
        <w:tabs>
          <w:tab w:val="left" w:pos="420"/>
          <w:tab w:val="clear" w:pos="4201"/>
          <w:tab w:val="clear" w:pos="9298"/>
        </w:tabs>
        <w:kinsoku/>
        <w:wordWrap/>
        <w:overflowPunct/>
        <w:topLinePunct w:val="0"/>
        <w:autoSpaceDE w:val="0"/>
        <w:autoSpaceDN w:val="0"/>
        <w:bidi w:val="0"/>
        <w:adjustRightInd/>
        <w:snapToGrid w:val="0"/>
        <w:spacing w:line="400" w:lineRule="exact"/>
        <w:ind w:left="798" w:firstLine="0" w:firstLineChars="0"/>
        <w:textAlignment w:val="auto"/>
        <w:rPr>
          <w:rFonts w:hint="default" w:ascii="Times New Roman Regular" w:hAnsi="Times New Roman Regular" w:cs="Times New Roman Regular"/>
          <w:color w:val="auto"/>
          <w:sz w:val="21"/>
          <w:szCs w:val="21"/>
          <w:highlight w:val="none"/>
          <w:lang w:val="en-US" w:eastAsia="zh-CN"/>
        </w:rPr>
      </w:pPr>
      <w:r>
        <w:rPr>
          <w:rFonts w:hint="default" w:ascii="Times New Roman Regular" w:hAnsi="Times New Roman Regular" w:cs="Times New Roman Regular"/>
          <w:color w:val="auto"/>
          <w:sz w:val="24"/>
          <w:szCs w:val="24"/>
          <w:highlight w:val="none"/>
        </w:rPr>
        <w:t>《水泥与减水剂相容性试验方法》J</w:t>
      </w:r>
      <w:r>
        <w:rPr>
          <w:rFonts w:hint="default" w:ascii="Times New Roman Regular" w:hAnsi="Times New Roman Regular" w:cs="Times New Roman Regular"/>
          <w:color w:val="auto"/>
          <w:sz w:val="24"/>
          <w:szCs w:val="24"/>
          <w:highlight w:val="none"/>
          <w:lang w:val="en-US" w:eastAsia="zh-CN"/>
        </w:rPr>
        <w:t>C</w:t>
      </w:r>
      <w:r>
        <w:rPr>
          <w:rFonts w:hint="default" w:ascii="Times New Roman Regular" w:hAnsi="Times New Roman Regular" w:cs="Times New Roman Regular"/>
          <w:color w:val="auto"/>
          <w:sz w:val="24"/>
          <w:szCs w:val="24"/>
          <w:highlight w:val="none"/>
        </w:rPr>
        <w:t xml:space="preserve">/T </w:t>
      </w:r>
      <w:r>
        <w:rPr>
          <w:rFonts w:hint="default" w:ascii="Times New Roman Regular" w:hAnsi="Times New Roman Regular" w:cs="Times New Roman Regular"/>
          <w:color w:val="auto"/>
          <w:sz w:val="24"/>
          <w:szCs w:val="24"/>
          <w:highlight w:val="none"/>
          <w:lang w:val="en-US" w:eastAsia="zh-CN"/>
        </w:rPr>
        <w:t>1083</w:t>
      </w:r>
    </w:p>
    <w:p w14:paraId="5B02A380">
      <w:pPr>
        <w:pStyle w:val="56"/>
        <w:numPr>
          <w:ilvl w:val="-1"/>
          <w:numId w:val="0"/>
        </w:numPr>
        <w:tabs>
          <w:tab w:val="left" w:pos="420"/>
          <w:tab w:val="clear" w:pos="4201"/>
          <w:tab w:val="clear" w:pos="9298"/>
        </w:tabs>
        <w:snapToGrid w:val="0"/>
        <w:spacing w:line="360" w:lineRule="auto"/>
        <w:ind w:left="798" w:firstLine="0" w:firstLineChars="0"/>
        <w:rPr>
          <w:rFonts w:hint="default" w:ascii="Times New Roman Regular" w:hAnsi="Times New Roman Regular" w:cs="Times New Roman Regular"/>
          <w:color w:val="auto"/>
          <w:sz w:val="21"/>
          <w:szCs w:val="21"/>
          <w:highlight w:val="none"/>
          <w:lang w:val="en-US" w:eastAsia="zh-CN"/>
        </w:rPr>
      </w:pPr>
    </w:p>
    <w:p w14:paraId="5730CEFA">
      <w:pPr>
        <w:rPr>
          <w:rFonts w:ascii="Times New Roman" w:hAnsi="Times New Roman"/>
          <w:highlight w:val="none"/>
        </w:rPr>
      </w:pPr>
      <w:r>
        <w:rPr>
          <w:rFonts w:ascii="Times New Roman" w:hAnsi="Times New Roman"/>
          <w:highlight w:val="none"/>
        </w:rPr>
        <w:br w:type="page"/>
      </w:r>
    </w:p>
    <w:p w14:paraId="0C3F7D60">
      <w:pPr>
        <w:pStyle w:val="56"/>
        <w:numPr>
          <w:ilvl w:val="-1"/>
          <w:numId w:val="0"/>
        </w:numPr>
        <w:tabs>
          <w:tab w:val="left" w:pos="420"/>
          <w:tab w:val="clear" w:pos="4201"/>
          <w:tab w:val="clear" w:pos="9298"/>
        </w:tabs>
        <w:snapToGrid w:val="0"/>
        <w:spacing w:line="360" w:lineRule="auto"/>
        <w:rPr>
          <w:rFonts w:ascii="Times New Roman" w:hAnsi="Times New Roman"/>
          <w:highlight w:val="none"/>
        </w:rPr>
      </w:pPr>
    </w:p>
    <w:p w14:paraId="58887339">
      <w:pPr>
        <w:pStyle w:val="44"/>
        <w:numPr>
          <w:ilvl w:val="1"/>
          <w:numId w:val="0"/>
        </w:numPr>
        <w:ind w:leftChars="0"/>
        <w:jc w:val="both"/>
        <w:rPr>
          <w:rFonts w:ascii="黑体" w:hAnsi="黑体" w:eastAsia="黑体"/>
          <w:sz w:val="44"/>
          <w:szCs w:val="52"/>
          <w:highlight w:val="none"/>
        </w:rPr>
      </w:pPr>
    </w:p>
    <w:p w14:paraId="3AC8EE4B">
      <w:pPr>
        <w:pStyle w:val="44"/>
        <w:numPr>
          <w:ilvl w:val="1"/>
          <w:numId w:val="0"/>
        </w:numPr>
        <w:ind w:leftChars="0"/>
        <w:jc w:val="center"/>
        <w:outlineLvl w:val="9"/>
        <w:rPr>
          <w:rFonts w:ascii="Times New Roman"/>
          <w:sz w:val="32"/>
          <w:szCs w:val="32"/>
          <w:highlight w:val="none"/>
        </w:rPr>
      </w:pPr>
      <w:bookmarkStart w:id="84" w:name="_Toc27880"/>
      <w:r>
        <w:rPr>
          <w:rFonts w:hint="eastAsia" w:ascii="黑体" w:hAnsi="黑体" w:eastAsia="黑体"/>
          <w:sz w:val="32"/>
          <w:szCs w:val="32"/>
          <w:highlight w:val="none"/>
        </w:rPr>
        <w:t>中华人民</w:t>
      </w:r>
      <w:r>
        <w:rPr>
          <w:rFonts w:ascii="黑体" w:hAnsi="黑体" w:eastAsia="黑体"/>
          <w:sz w:val="32"/>
          <w:szCs w:val="32"/>
          <w:highlight w:val="none"/>
        </w:rPr>
        <w:t>共和国</w:t>
      </w:r>
      <w:r>
        <w:rPr>
          <w:rFonts w:hint="eastAsia" w:ascii="黑体" w:hAnsi="黑体" w:eastAsia="黑体"/>
          <w:sz w:val="32"/>
          <w:szCs w:val="32"/>
          <w:highlight w:val="none"/>
        </w:rPr>
        <w:t>建材</w:t>
      </w:r>
      <w:r>
        <w:rPr>
          <w:rFonts w:ascii="黑体" w:hAnsi="黑体" w:eastAsia="黑体"/>
          <w:sz w:val="32"/>
          <w:szCs w:val="32"/>
          <w:highlight w:val="none"/>
        </w:rPr>
        <w:t>行业标准</w:t>
      </w:r>
      <w:bookmarkEnd w:id="84"/>
    </w:p>
    <w:p w14:paraId="3D955B81">
      <w:pPr>
        <w:pStyle w:val="44"/>
        <w:numPr>
          <w:ilvl w:val="1"/>
          <w:numId w:val="0"/>
        </w:numPr>
        <w:ind w:leftChars="0"/>
        <w:rPr>
          <w:rFonts w:ascii="Times New Roman"/>
          <w:sz w:val="32"/>
          <w:szCs w:val="32"/>
          <w:highlight w:val="none"/>
        </w:rPr>
      </w:pPr>
    </w:p>
    <w:p w14:paraId="34A4022B">
      <w:pPr>
        <w:ind w:left="0" w:leftChars="0" w:firstLine="0" w:firstLineChars="0"/>
        <w:jc w:val="center"/>
        <w:rPr>
          <w:rFonts w:ascii="宋体" w:hAnsi="宋体" w:eastAsia="宋体"/>
          <w:sz w:val="32"/>
          <w:szCs w:val="32"/>
          <w:highlight w:val="none"/>
        </w:rPr>
      </w:pPr>
      <w:r>
        <w:rPr>
          <w:rFonts w:hint="eastAsia" w:ascii="宋体" w:hAnsi="宋体" w:eastAsia="宋体"/>
          <w:sz w:val="32"/>
          <w:szCs w:val="32"/>
          <w:highlight w:val="none"/>
          <w:lang w:val="en-US" w:eastAsia="zh-CN"/>
        </w:rPr>
        <w:t>花岗岩石粉在</w:t>
      </w:r>
      <w:r>
        <w:rPr>
          <w:rFonts w:hint="eastAsia" w:ascii="宋体" w:hAnsi="宋体" w:eastAsia="宋体"/>
          <w:sz w:val="32"/>
          <w:szCs w:val="32"/>
          <w:highlight w:val="none"/>
        </w:rPr>
        <w:t>混凝土</w:t>
      </w:r>
      <w:r>
        <w:rPr>
          <w:rFonts w:hint="eastAsia" w:ascii="宋体" w:hAnsi="宋体" w:eastAsia="宋体"/>
          <w:sz w:val="32"/>
          <w:szCs w:val="32"/>
          <w:highlight w:val="none"/>
          <w:lang w:val="en-US" w:eastAsia="zh-CN"/>
        </w:rPr>
        <w:t>中</w:t>
      </w:r>
      <w:r>
        <w:rPr>
          <w:rFonts w:hint="eastAsia" w:ascii="宋体" w:hAnsi="宋体" w:eastAsia="宋体"/>
          <w:sz w:val="32"/>
          <w:szCs w:val="32"/>
          <w:highlight w:val="none"/>
        </w:rPr>
        <w:t>应用技术规范</w:t>
      </w:r>
    </w:p>
    <w:p w14:paraId="3D8CB4E5">
      <w:pPr>
        <w:jc w:val="center"/>
        <w:rPr>
          <w:rFonts w:ascii="宋体" w:hAnsi="宋体" w:eastAsia="宋体"/>
          <w:sz w:val="32"/>
          <w:szCs w:val="32"/>
          <w:highlight w:val="none"/>
        </w:rPr>
      </w:pPr>
    </w:p>
    <w:p w14:paraId="4E39FFE6">
      <w:pPr>
        <w:jc w:val="center"/>
        <w:rPr>
          <w:rFonts w:ascii="宋体" w:hAnsi="宋体" w:eastAsia="宋体"/>
          <w:sz w:val="32"/>
          <w:szCs w:val="32"/>
          <w:highlight w:val="none"/>
        </w:rPr>
      </w:pPr>
    </w:p>
    <w:p w14:paraId="53D8C2B7">
      <w:pPr>
        <w:ind w:left="0" w:leftChars="0" w:firstLine="0" w:firstLineChars="0"/>
        <w:jc w:val="center"/>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JC/T XXX-XXXX</w:t>
      </w:r>
    </w:p>
    <w:p w14:paraId="6A51D6F5">
      <w:pPr>
        <w:jc w:val="center"/>
        <w:rPr>
          <w:rFonts w:ascii="宋体" w:hAnsi="宋体" w:eastAsia="宋体"/>
          <w:sz w:val="32"/>
          <w:szCs w:val="32"/>
          <w:highlight w:val="none"/>
        </w:rPr>
      </w:pPr>
    </w:p>
    <w:p w14:paraId="08973B35">
      <w:pPr>
        <w:jc w:val="center"/>
        <w:rPr>
          <w:rFonts w:ascii="宋体" w:hAnsi="宋体" w:eastAsia="宋体"/>
          <w:sz w:val="32"/>
          <w:szCs w:val="32"/>
          <w:highlight w:val="none"/>
        </w:rPr>
      </w:pPr>
    </w:p>
    <w:p w14:paraId="4EE6F033">
      <w:pPr>
        <w:spacing w:before="156" w:beforeLines="50" w:after="156" w:afterLines="50"/>
        <w:ind w:left="0" w:leftChars="0" w:firstLine="0" w:firstLineChars="0"/>
        <w:jc w:val="center"/>
        <w:outlineLvl w:val="0"/>
        <w:rPr>
          <w:rFonts w:ascii="宋体" w:hAnsi="宋体" w:eastAsia="宋体"/>
          <w:sz w:val="32"/>
          <w:szCs w:val="32"/>
          <w:highlight w:val="none"/>
        </w:rPr>
      </w:pPr>
      <w:bookmarkStart w:id="85" w:name="_Toc149943877"/>
      <w:bookmarkStart w:id="86" w:name="_Toc1579"/>
      <w:bookmarkStart w:id="87" w:name="_Toc3678"/>
      <w:r>
        <w:rPr>
          <w:rFonts w:hint="eastAsia" w:ascii="宋体" w:hAnsi="宋体" w:eastAsia="宋体"/>
          <w:spacing w:val="106"/>
          <w:kern w:val="0"/>
          <w:sz w:val="32"/>
          <w:szCs w:val="32"/>
          <w:highlight w:val="none"/>
          <w:fitText w:val="1920" w:id="1889034985"/>
        </w:rPr>
        <w:t>条文</w:t>
      </w:r>
      <w:r>
        <w:rPr>
          <w:rFonts w:ascii="宋体" w:hAnsi="宋体" w:eastAsia="宋体"/>
          <w:spacing w:val="106"/>
          <w:kern w:val="0"/>
          <w:sz w:val="32"/>
          <w:szCs w:val="32"/>
          <w:highlight w:val="none"/>
          <w:fitText w:val="1920" w:id="1889034985"/>
        </w:rPr>
        <w:t>说</w:t>
      </w:r>
      <w:r>
        <w:rPr>
          <w:rFonts w:ascii="宋体" w:hAnsi="宋体" w:eastAsia="宋体"/>
          <w:spacing w:val="2"/>
          <w:kern w:val="0"/>
          <w:sz w:val="32"/>
          <w:szCs w:val="32"/>
          <w:highlight w:val="none"/>
          <w:fitText w:val="1920" w:id="1889034985"/>
        </w:rPr>
        <w:t>明</w:t>
      </w:r>
      <w:bookmarkEnd w:id="85"/>
      <w:bookmarkEnd w:id="86"/>
      <w:bookmarkEnd w:id="87"/>
    </w:p>
    <w:p w14:paraId="334AD0E4">
      <w:pPr>
        <w:pStyle w:val="44"/>
        <w:numPr>
          <w:ilvl w:val="1"/>
          <w:numId w:val="0"/>
        </w:numPr>
        <w:ind w:leftChars="0"/>
        <w:rPr>
          <w:rFonts w:ascii="Times New Roman"/>
          <w:highlight w:val="none"/>
        </w:rPr>
      </w:pPr>
    </w:p>
    <w:p w14:paraId="1BE630B8">
      <w:pPr>
        <w:pStyle w:val="44"/>
        <w:numPr>
          <w:ilvl w:val="1"/>
          <w:numId w:val="0"/>
        </w:numPr>
        <w:ind w:leftChars="0"/>
        <w:rPr>
          <w:rFonts w:ascii="Times New Roman"/>
          <w:highlight w:val="none"/>
        </w:rPr>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pPr>
    </w:p>
    <w:p w14:paraId="3295B7FB">
      <w:pPr>
        <w:ind w:left="0" w:leftChars="0" w:firstLine="0" w:firstLineChars="0"/>
        <w:jc w:val="center"/>
        <w:rPr>
          <w:rFonts w:hint="default" w:ascii="Times New Roman Regular" w:hAnsi="Times New Roman Regular" w:eastAsia="黑体" w:cs="Times New Roman Regular"/>
          <w:color w:val="auto"/>
          <w:sz w:val="32"/>
          <w:szCs w:val="32"/>
          <w:highlight w:val="none"/>
        </w:rPr>
      </w:pPr>
      <w:r>
        <w:rPr>
          <w:rFonts w:hint="default" w:ascii="Times New Roman Regular" w:hAnsi="Times New Roman Regular" w:eastAsia="黑体" w:cs="Times New Roman Regular"/>
          <w:color w:val="auto"/>
          <w:sz w:val="32"/>
          <w:szCs w:val="32"/>
          <w:highlight w:val="none"/>
        </w:rPr>
        <w:t>制 订 说 明</w:t>
      </w:r>
    </w:p>
    <w:p w14:paraId="52AB0C90">
      <w:pPr>
        <w:rPr>
          <w:rFonts w:hint="default" w:ascii="Times New Roman Regular" w:hAnsi="Times New Roman Regular" w:eastAsia="仿宋_GB2312" w:cs="Times New Roman Regular"/>
          <w:b/>
          <w:bCs/>
          <w:caps/>
          <w:color w:val="auto"/>
          <w:sz w:val="44"/>
          <w:szCs w:val="36"/>
          <w:highlight w:val="none"/>
        </w:rPr>
      </w:pPr>
    </w:p>
    <w:p w14:paraId="4291F780">
      <w:pPr>
        <w:spacing w:before="156" w:beforeLines="50" w:line="360" w:lineRule="auto"/>
        <w:rPr>
          <w:rFonts w:hint="default" w:ascii="Times New Roman Regular" w:hAnsi="Times New Roman Regular" w:cs="Times New Roman Regular"/>
          <w:color w:val="auto"/>
          <w:sz w:val="24"/>
          <w:highlight w:val="none"/>
        </w:rPr>
      </w:pPr>
      <w:r>
        <w:rPr>
          <w:rFonts w:hint="default" w:ascii="Times New Roman Regular" w:hAnsi="Times New Roman Regular" w:cs="Times New Roman Regular"/>
          <w:color w:val="auto"/>
          <w:sz w:val="24"/>
          <w:highlight w:val="none"/>
        </w:rPr>
        <w:tab/>
      </w:r>
      <w:r>
        <w:rPr>
          <w:rFonts w:hint="default" w:ascii="Times New Roman Regular" w:hAnsi="Times New Roman Regular" w:cs="Times New Roman Regular"/>
          <w:color w:val="auto"/>
          <w:sz w:val="24"/>
          <w:highlight w:val="none"/>
        </w:rPr>
        <w:t>《花岗岩石粉</w:t>
      </w:r>
      <w:r>
        <w:rPr>
          <w:rFonts w:hint="eastAsia" w:ascii="Times New Roman Regular" w:hAnsi="Times New Roman Regular" w:cs="Times New Roman Regular"/>
          <w:color w:val="auto"/>
          <w:sz w:val="24"/>
          <w:highlight w:val="none"/>
          <w:lang w:val="en-US" w:eastAsia="zh-CN"/>
        </w:rPr>
        <w:t>在混凝土中应用技术规范</w:t>
      </w:r>
      <w:r>
        <w:rPr>
          <w:rFonts w:hint="default" w:ascii="Times New Roman Regular" w:hAnsi="Times New Roman Regular" w:cs="Times New Roman Regular"/>
          <w:color w:val="auto"/>
          <w:sz w:val="24"/>
          <w:highlight w:val="none"/>
        </w:rPr>
        <w:t>》JC/T XXX-XXXX，工业和信息化部××年××月××日以第××号公告</w:t>
      </w:r>
      <w:r>
        <w:rPr>
          <w:rFonts w:hint="eastAsia" w:ascii="Times New Roman Regular" w:hAnsi="Times New Roman Regular" w:cs="Times New Roman Regular"/>
          <w:color w:val="auto"/>
          <w:sz w:val="24"/>
          <w:highlight w:val="none"/>
          <w:lang w:val="en-US" w:eastAsia="zh-CN"/>
        </w:rPr>
        <w:t>批准、</w:t>
      </w:r>
      <w:r>
        <w:rPr>
          <w:rFonts w:hint="default" w:ascii="Times New Roman Regular" w:hAnsi="Times New Roman Regular" w:cs="Times New Roman Regular"/>
          <w:color w:val="auto"/>
          <w:sz w:val="24"/>
          <w:highlight w:val="none"/>
        </w:rPr>
        <w:t>发布。</w:t>
      </w:r>
    </w:p>
    <w:p w14:paraId="4D67B1D5">
      <w:pPr>
        <w:spacing w:before="156" w:beforeLines="50" w:line="360" w:lineRule="auto"/>
        <w:ind w:firstLine="480" w:firstLineChars="200"/>
        <w:rPr>
          <w:rFonts w:hint="default" w:ascii="Times New Roman Regular" w:hAnsi="Times New Roman Regular" w:cs="Times New Roman Regular"/>
          <w:color w:val="auto"/>
          <w:sz w:val="24"/>
          <w:highlight w:val="none"/>
        </w:rPr>
      </w:pPr>
      <w:r>
        <w:rPr>
          <w:rFonts w:hint="default" w:ascii="Times New Roman Regular" w:hAnsi="Times New Roman Regular" w:cs="Times New Roman Regular"/>
          <w:color w:val="auto"/>
          <w:sz w:val="24"/>
          <w:highlight w:val="none"/>
        </w:rPr>
        <w:t>本规范编制过程中，编制组总结我国</w:t>
      </w:r>
      <w:r>
        <w:rPr>
          <w:rFonts w:hint="eastAsia" w:ascii="Times New Roman Regular" w:hAnsi="Times New Roman Regular" w:cs="Times New Roman Regular"/>
          <w:color w:val="auto"/>
          <w:sz w:val="24"/>
          <w:highlight w:val="none"/>
          <w:lang w:val="en-US" w:eastAsia="zh-CN"/>
        </w:rPr>
        <w:t>花岗岩石粉</w:t>
      </w:r>
      <w:r>
        <w:rPr>
          <w:rFonts w:hint="default" w:ascii="Times New Roman Regular" w:hAnsi="Times New Roman Regular" w:cs="Times New Roman Regular"/>
          <w:color w:val="auto"/>
          <w:sz w:val="24"/>
          <w:highlight w:val="none"/>
        </w:rPr>
        <w:t>混凝土技术应用实践经验的基础上，经参考有关资料广泛征求有关专家和单位的意见并积极听取各方建议编制而成。规范的编制进行了大量的调研和验证试验，对主要问题进行了反复讨论并广泛征求了各方意见，与相关标准规范进行了协调</w:t>
      </w:r>
    </w:p>
    <w:p w14:paraId="72CBC5E8">
      <w:pPr>
        <w:spacing w:before="156" w:beforeLines="50" w:line="360" w:lineRule="auto"/>
        <w:ind w:firstLine="480" w:firstLineChars="200"/>
        <w:rPr>
          <w:rFonts w:hint="default" w:ascii="Times New Roman Regular" w:hAnsi="Times New Roman Regular" w:cs="Times New Roman Regular"/>
          <w:color w:val="auto"/>
          <w:sz w:val="24"/>
          <w:highlight w:val="none"/>
        </w:rPr>
      </w:pPr>
      <w:r>
        <w:rPr>
          <w:rFonts w:hint="default" w:ascii="Times New Roman Regular" w:hAnsi="Times New Roman Regular" w:cs="Times New Roman Regular"/>
          <w:color w:val="auto"/>
          <w:sz w:val="24"/>
          <w:highlight w:val="none"/>
        </w:rPr>
        <w:t>为便于扩大设计、施工、科研、学校等单位有关人员在使用本</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时能正确理解和执行条文规定，《花岗岩</w:t>
      </w:r>
      <w:r>
        <w:rPr>
          <w:rFonts w:hint="eastAsia" w:ascii="Times New Roman Regular" w:hAnsi="Times New Roman Regular" w:cs="Times New Roman Regular"/>
          <w:color w:val="auto"/>
          <w:sz w:val="24"/>
          <w:highlight w:val="none"/>
          <w:lang w:val="en-US" w:eastAsia="zh-CN"/>
        </w:rPr>
        <w:t>在混凝土中</w:t>
      </w:r>
      <w:r>
        <w:rPr>
          <w:rFonts w:hint="default" w:ascii="Times New Roman Regular" w:hAnsi="Times New Roman Regular" w:cs="Times New Roman Regular"/>
          <w:color w:val="auto"/>
          <w:sz w:val="24"/>
          <w:highlight w:val="none"/>
        </w:rPr>
        <w:t>应用技术</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》编制组按章、节、条顺序编制了本</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中的条文说明，对条文规定的目的、依据以及执行中需要注意的有关事项进行了说明。但是，本条文说明不具备与</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正文同等的法律效力，仅供使用者作为理解和把握</w:t>
      </w:r>
      <w:r>
        <w:rPr>
          <w:rFonts w:hint="eastAsia" w:ascii="Times New Roman Regular" w:hAnsi="Times New Roman Regular" w:cs="Times New Roman Regular"/>
          <w:color w:val="auto"/>
          <w:sz w:val="24"/>
          <w:highlight w:val="none"/>
          <w:lang w:eastAsia="zh-CN"/>
        </w:rPr>
        <w:t>规范</w:t>
      </w:r>
      <w:r>
        <w:rPr>
          <w:rFonts w:hint="default" w:ascii="Times New Roman Regular" w:hAnsi="Times New Roman Regular" w:cs="Times New Roman Regular"/>
          <w:color w:val="auto"/>
          <w:sz w:val="24"/>
          <w:highlight w:val="none"/>
        </w:rPr>
        <w:t>规定的参考。</w:t>
      </w:r>
    </w:p>
    <w:p w14:paraId="4A677BFE">
      <w:pPr>
        <w:spacing w:before="156" w:beforeLines="50" w:line="360" w:lineRule="auto"/>
        <w:ind w:left="0" w:leftChars="0" w:firstLine="0" w:firstLineChars="0"/>
        <w:rPr>
          <w:rFonts w:hint="default" w:ascii="Times New Roman Regular" w:hAnsi="Times New Roman Regular" w:cs="Times New Roman Regular"/>
          <w:color w:val="auto"/>
          <w:sz w:val="24"/>
          <w:highlight w:val="none"/>
        </w:rPr>
      </w:pPr>
    </w:p>
    <w:p w14:paraId="2C6F0C61">
      <w:pPr>
        <w:rPr>
          <w:rFonts w:hint="default" w:ascii="Times New Roman Regular" w:hAnsi="Times New Roman Regular" w:cs="Times New Roman Regular"/>
          <w:color w:val="auto"/>
          <w:highlight w:val="none"/>
        </w:rPr>
        <w:sectPr>
          <w:footerReference r:id="rId16" w:type="default"/>
          <w:pgSz w:w="11906" w:h="16838"/>
          <w:pgMar w:top="1701" w:right="1134" w:bottom="1134" w:left="1417" w:header="851" w:footer="992" w:gutter="0"/>
          <w:pgNumType w:fmt="decimal"/>
          <w:cols w:space="720" w:num="1"/>
          <w:docGrid w:type="lines" w:linePitch="312" w:charSpace="0"/>
        </w:sectPr>
      </w:pPr>
    </w:p>
    <w:p w14:paraId="1DDF89E1">
      <w:pPr>
        <w:pStyle w:val="9"/>
        <w:tabs>
          <w:tab w:val="center" w:pos="4153"/>
          <w:tab w:val="clear" w:pos="4201"/>
          <w:tab w:val="clear" w:pos="9298"/>
        </w:tabs>
        <w:rPr>
          <w:rFonts w:hint="default" w:ascii="Times New Roman Regular" w:hAnsi="Times New Roman Regular" w:cs="Times New Roman Regular"/>
          <w:bCs/>
          <w:color w:val="auto"/>
          <w:sz w:val="28"/>
          <w:szCs w:val="28"/>
          <w:highlight w:val="none"/>
        </w:rPr>
      </w:pPr>
      <w:r>
        <w:rPr>
          <w:rFonts w:hint="default" w:ascii="Times New Roman Regular" w:hAnsi="Times New Roman Regular" w:cs="Times New Roman Regular"/>
          <w:bCs/>
          <w:color w:val="auto"/>
          <w:sz w:val="28"/>
          <w:szCs w:val="28"/>
          <w:highlight w:val="none"/>
        </w:rPr>
        <w:tab/>
      </w:r>
      <w:r>
        <w:rPr>
          <w:rFonts w:hint="default" w:ascii="Times New Roman Regular" w:hAnsi="Times New Roman Regular" w:cs="Times New Roman Regular"/>
          <w:bCs/>
          <w:color w:val="auto"/>
          <w:sz w:val="28"/>
          <w:szCs w:val="28"/>
          <w:highlight w:val="none"/>
        </w:rPr>
        <w:t>目  次</w:t>
      </w:r>
    </w:p>
    <w:p w14:paraId="7A03BD69">
      <w:pPr>
        <w:pStyle w:val="14"/>
        <w:tabs>
          <w:tab w:val="right" w:leader="dot" w:pos="8306"/>
          <w:tab w:val="clear" w:pos="4201"/>
          <w:tab w:val="clear" w:pos="9298"/>
        </w:tabs>
        <w:rPr>
          <w:color w:val="0000FF"/>
          <w:highlight w:val="none"/>
        </w:rPr>
      </w:pPr>
      <w:r>
        <w:rPr>
          <w:rFonts w:hint="default" w:ascii="Times New Roman Regular" w:hAnsi="Times New Roman Regular" w:eastAsia="宋体" w:cs="Times New Roman Regular"/>
          <w:color w:val="0000FF"/>
          <w:sz w:val="22"/>
          <w:szCs w:val="22"/>
          <w:highlight w:val="none"/>
        </w:rPr>
        <w:fldChar w:fldCharType="begin"/>
      </w:r>
      <w:r>
        <w:rPr>
          <w:rFonts w:hint="default" w:ascii="Times New Roman Regular" w:hAnsi="Times New Roman Regular" w:eastAsia="宋体" w:cs="Times New Roman Regular"/>
          <w:color w:val="0000FF"/>
          <w:sz w:val="22"/>
          <w:szCs w:val="22"/>
          <w:highlight w:val="none"/>
        </w:rPr>
        <w:instrText xml:space="preserve">TOC \o "1-2" \h \u </w:instrText>
      </w:r>
      <w:r>
        <w:rPr>
          <w:rFonts w:hint="default" w:ascii="Times New Roman Regular" w:hAnsi="Times New Roman Regular" w:eastAsia="宋体" w:cs="Times New Roman Regular"/>
          <w:color w:val="0000FF"/>
          <w:sz w:val="22"/>
          <w:szCs w:val="22"/>
          <w:highlight w:val="none"/>
        </w:rPr>
        <w:fldChar w:fldCharType="separate"/>
      </w:r>
    </w:p>
    <w:p w14:paraId="15CF6779">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outlineLvl w:val="1"/>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_Toc19118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1  </w:t>
      </w:r>
      <w:r>
        <w:rPr>
          <w:rFonts w:hint="default" w:ascii="Times New Roman" w:hAnsi="Times New Roman" w:eastAsia="宋体" w:cs="Times New Roman"/>
          <w:b w:val="0"/>
          <w:bCs w:val="0"/>
          <w:color w:val="0000FF"/>
          <w:sz w:val="24"/>
          <w:szCs w:val="24"/>
          <w:highlight w:val="none"/>
        </w:rPr>
        <w:t>总  则</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3</w:t>
      </w:r>
    </w:p>
    <w:p w14:paraId="284C79B9">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_Toc19835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eastAsia="宋体" w:cs="Times New Roman"/>
          <w:b w:val="0"/>
          <w:bCs w:val="0"/>
          <w:color w:val="0000FF"/>
          <w:sz w:val="24"/>
          <w:szCs w:val="24"/>
          <w:highlight w:val="none"/>
        </w:rPr>
        <w:t>2  术  语</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4</w:t>
      </w:r>
    </w:p>
    <w:p w14:paraId="73E54A34">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b w:val="0"/>
          <w:bCs w:val="0"/>
          <w:color w:val="0000FF"/>
          <w:sz w:val="24"/>
          <w:szCs w:val="24"/>
          <w:highlight w:val="none"/>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_Toc3793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eastAsia="宋体" w:cs="Times New Roman"/>
          <w:b w:val="0"/>
          <w:bCs w:val="0"/>
          <w:color w:val="0000FF"/>
          <w:sz w:val="24"/>
          <w:szCs w:val="24"/>
          <w:highlight w:val="none"/>
        </w:rPr>
        <w:t xml:space="preserve">3  </w:t>
      </w:r>
      <w:r>
        <w:rPr>
          <w:rFonts w:hint="default" w:ascii="Times New Roman" w:hAnsi="Times New Roman" w:cs="Times New Roman"/>
          <w:b w:val="0"/>
          <w:bCs w:val="0"/>
          <w:color w:val="0000FF"/>
          <w:sz w:val="24"/>
          <w:szCs w:val="24"/>
          <w:highlight w:val="none"/>
          <w:lang w:val="en-US" w:eastAsia="zh-CN"/>
        </w:rPr>
        <w:t>原材料</w:t>
      </w:r>
      <w:r>
        <w:rPr>
          <w:rFonts w:hint="default" w:ascii="Times New Roman" w:hAnsi="Times New Roman" w:cs="Times New Roman"/>
          <w:b w:val="0"/>
          <w:bCs w:val="0"/>
          <w:color w:val="0000FF"/>
          <w:sz w:val="24"/>
          <w:szCs w:val="24"/>
          <w:highlight w:val="none"/>
        </w:rPr>
        <w:tab/>
      </w:r>
      <w:r>
        <w:rPr>
          <w:rFonts w:hint="default" w:ascii="Times New Roman" w:hAnsi="Times New Roman" w:cs="Times New Roman"/>
          <w:b w:val="0"/>
          <w:bCs w:val="0"/>
          <w:color w:val="0000FF"/>
          <w:sz w:val="24"/>
          <w:szCs w:val="24"/>
          <w:highlight w:val="none"/>
        </w:rPr>
        <w:fldChar w:fldCharType="begin"/>
      </w:r>
      <w:r>
        <w:rPr>
          <w:rFonts w:hint="default" w:ascii="Times New Roman" w:hAnsi="Times New Roman" w:cs="Times New Roman"/>
          <w:b w:val="0"/>
          <w:bCs w:val="0"/>
          <w:color w:val="0000FF"/>
          <w:sz w:val="24"/>
          <w:szCs w:val="24"/>
          <w:highlight w:val="none"/>
        </w:rPr>
        <w:instrText xml:space="preserve"> PAGEREF _Toc3793 \h </w:instrText>
      </w:r>
      <w:r>
        <w:rPr>
          <w:rFonts w:hint="default" w:ascii="Times New Roman" w:hAnsi="Times New Roman"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2</w:t>
      </w:r>
      <w:r>
        <w:rPr>
          <w:rFonts w:hint="eastAsia" w:ascii="Times New Roman" w:hAnsi="Times New Roman" w:cs="Times New Roman"/>
          <w:b w:val="0"/>
          <w:bCs w:val="0"/>
          <w:color w:val="0000FF"/>
          <w:sz w:val="24"/>
          <w:szCs w:val="24"/>
          <w:highlight w:val="none"/>
          <w:lang w:val="en-US" w:eastAsia="zh-CN"/>
        </w:rPr>
        <w:t>5</w:t>
      </w:r>
      <w:r>
        <w:rPr>
          <w:rFonts w:hint="default" w:ascii="Times New Roman" w:hAnsi="Times New Roman" w:cs="Times New Roman"/>
          <w:b w:val="0"/>
          <w:bCs w:val="0"/>
          <w:color w:val="0000FF"/>
          <w:sz w:val="24"/>
          <w:szCs w:val="24"/>
          <w:highlight w:val="none"/>
        </w:rPr>
        <w:fldChar w:fldCharType="end"/>
      </w:r>
      <w:r>
        <w:rPr>
          <w:rFonts w:hint="default" w:ascii="Times New Roman" w:hAnsi="Times New Roman" w:eastAsia="宋体" w:cs="Times New Roman"/>
          <w:b w:val="0"/>
          <w:bCs w:val="0"/>
          <w:color w:val="0000FF"/>
          <w:sz w:val="24"/>
          <w:szCs w:val="24"/>
          <w:highlight w:val="none"/>
        </w:rPr>
        <w:fldChar w:fldCharType="end"/>
      </w:r>
    </w:p>
    <w:p w14:paraId="25B7DCD9">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b w:val="0"/>
          <w:bCs w:val="0"/>
          <w:color w:val="0000FF"/>
          <w:sz w:val="24"/>
          <w:szCs w:val="24"/>
          <w:highlight w:val="none"/>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_Toc5256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3.</w:t>
      </w:r>
      <w:r>
        <w:rPr>
          <w:rFonts w:hint="eastAsia" w:ascii="Times New Roman" w:hAnsi="Times New Roman" w:cs="Times New Roman"/>
          <w:b w:val="0"/>
          <w:bCs w:val="0"/>
          <w:color w:val="0000FF"/>
          <w:sz w:val="24"/>
          <w:szCs w:val="24"/>
          <w:highlight w:val="none"/>
          <w:lang w:val="en-US" w:eastAsia="zh-CN"/>
        </w:rPr>
        <w:t>1</w:t>
      </w:r>
      <w:r>
        <w:rPr>
          <w:rFonts w:hint="default" w:ascii="Times New Roman" w:hAnsi="Times New Roman" w:cs="Times New Roman"/>
          <w:b w:val="0"/>
          <w:bCs w:val="0"/>
          <w:color w:val="0000FF"/>
          <w:sz w:val="24"/>
          <w:szCs w:val="24"/>
          <w:highlight w:val="none"/>
        </w:rPr>
        <w:t xml:space="preserve">  </w:t>
      </w:r>
      <w:r>
        <w:rPr>
          <w:rFonts w:hint="default" w:ascii="Times New Roman" w:hAnsi="Times New Roman" w:eastAsia="宋体" w:cs="Times New Roman"/>
          <w:b w:val="0"/>
          <w:bCs w:val="0"/>
          <w:color w:val="0000FF"/>
          <w:sz w:val="24"/>
          <w:szCs w:val="24"/>
          <w:highlight w:val="none"/>
        </w:rPr>
        <w:t>花岗岩石粉</w:t>
      </w:r>
      <w:r>
        <w:rPr>
          <w:rFonts w:hint="default" w:ascii="Times New Roman" w:hAnsi="Times New Roman" w:cs="Times New Roman"/>
          <w:b w:val="0"/>
          <w:bCs w:val="0"/>
          <w:color w:val="0000FF"/>
          <w:sz w:val="24"/>
          <w:szCs w:val="24"/>
          <w:highlight w:val="none"/>
        </w:rPr>
        <w:tab/>
      </w:r>
      <w:r>
        <w:rPr>
          <w:rFonts w:hint="default" w:ascii="Times New Roman" w:hAnsi="Times New Roman" w:cs="Times New Roman"/>
          <w:b w:val="0"/>
          <w:bCs w:val="0"/>
          <w:color w:val="0000FF"/>
          <w:sz w:val="24"/>
          <w:szCs w:val="24"/>
          <w:highlight w:val="none"/>
        </w:rPr>
        <w:fldChar w:fldCharType="begin"/>
      </w:r>
      <w:r>
        <w:rPr>
          <w:rFonts w:hint="default" w:ascii="Times New Roman" w:hAnsi="Times New Roman" w:cs="Times New Roman"/>
          <w:b w:val="0"/>
          <w:bCs w:val="0"/>
          <w:color w:val="0000FF"/>
          <w:sz w:val="24"/>
          <w:szCs w:val="24"/>
          <w:highlight w:val="none"/>
        </w:rPr>
        <w:instrText xml:space="preserve"> PAGEREF _Toc5256 \h </w:instrText>
      </w:r>
      <w:r>
        <w:rPr>
          <w:rFonts w:hint="default" w:ascii="Times New Roman" w:hAnsi="Times New Roman"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2</w:t>
      </w:r>
      <w:r>
        <w:rPr>
          <w:rFonts w:hint="eastAsia" w:ascii="Times New Roman" w:hAnsi="Times New Roman" w:cs="Times New Roman"/>
          <w:b w:val="0"/>
          <w:bCs w:val="0"/>
          <w:color w:val="0000FF"/>
          <w:sz w:val="24"/>
          <w:szCs w:val="24"/>
          <w:highlight w:val="none"/>
          <w:lang w:val="en-US" w:eastAsia="zh-CN"/>
        </w:rPr>
        <w:t>5</w:t>
      </w:r>
      <w:r>
        <w:rPr>
          <w:rFonts w:hint="default" w:ascii="Times New Roman" w:hAnsi="Times New Roman" w:cs="Times New Roman"/>
          <w:b w:val="0"/>
          <w:bCs w:val="0"/>
          <w:color w:val="0000FF"/>
          <w:sz w:val="24"/>
          <w:szCs w:val="24"/>
          <w:highlight w:val="none"/>
        </w:rPr>
        <w:fldChar w:fldCharType="end"/>
      </w:r>
      <w:r>
        <w:rPr>
          <w:rFonts w:hint="default" w:ascii="Times New Roman" w:hAnsi="Times New Roman" w:eastAsia="宋体" w:cs="Times New Roman"/>
          <w:b w:val="0"/>
          <w:bCs w:val="0"/>
          <w:color w:val="0000FF"/>
          <w:sz w:val="24"/>
          <w:szCs w:val="24"/>
          <w:highlight w:val="none"/>
        </w:rPr>
        <w:fldChar w:fldCharType="end"/>
      </w:r>
    </w:p>
    <w:p w14:paraId="4C80D2BD">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_Toc28456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3.</w:t>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cs="Times New Roman"/>
          <w:b w:val="0"/>
          <w:bCs w:val="0"/>
          <w:color w:val="0000FF"/>
          <w:sz w:val="24"/>
          <w:szCs w:val="24"/>
          <w:highlight w:val="none"/>
        </w:rPr>
        <w:t xml:space="preserve">  </w:t>
      </w:r>
      <w:r>
        <w:rPr>
          <w:rFonts w:hint="default" w:ascii="Times New Roman" w:hAnsi="Times New Roman" w:cs="Times New Roman"/>
          <w:b w:val="0"/>
          <w:bCs w:val="0"/>
          <w:color w:val="0000FF"/>
          <w:sz w:val="24"/>
          <w:szCs w:val="24"/>
          <w:highlight w:val="none"/>
          <w:lang w:val="en-US" w:eastAsia="zh-CN"/>
        </w:rPr>
        <w:t>混凝土</w:t>
      </w:r>
      <w:r>
        <w:rPr>
          <w:rFonts w:hint="default" w:ascii="Times New Roman" w:hAnsi="Times New Roman" w:eastAsia="宋体" w:cs="Times New Roman"/>
          <w:b w:val="0"/>
          <w:bCs w:val="0"/>
          <w:color w:val="0000FF"/>
          <w:sz w:val="24"/>
          <w:szCs w:val="24"/>
          <w:highlight w:val="none"/>
        </w:rPr>
        <w:t>其他原材料</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5</w:t>
      </w:r>
    </w:p>
    <w:p w14:paraId="414776AD">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_Toc23928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4  混凝土性能</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7</w:t>
      </w:r>
    </w:p>
    <w:p w14:paraId="6F76C479">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_Toc11733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4.1  </w:t>
      </w:r>
      <w:r>
        <w:rPr>
          <w:rFonts w:hint="default" w:ascii="Times New Roman" w:hAnsi="Times New Roman" w:eastAsia="宋体" w:cs="Times New Roman"/>
          <w:b w:val="0"/>
          <w:bCs w:val="0"/>
          <w:color w:val="0000FF"/>
          <w:sz w:val="24"/>
          <w:szCs w:val="24"/>
          <w:highlight w:val="none"/>
        </w:rPr>
        <w:t>拌合物性能</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7</w:t>
      </w:r>
    </w:p>
    <w:p w14:paraId="5815DE66">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_Toc13575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4.2  </w:t>
      </w:r>
      <w:r>
        <w:rPr>
          <w:rFonts w:hint="default" w:ascii="Times New Roman" w:hAnsi="Times New Roman" w:eastAsia="宋体" w:cs="Times New Roman"/>
          <w:b w:val="0"/>
          <w:bCs w:val="0"/>
          <w:color w:val="0000FF"/>
          <w:sz w:val="24"/>
          <w:szCs w:val="24"/>
          <w:highlight w:val="none"/>
        </w:rPr>
        <w:t>力学性能</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7</w:t>
      </w:r>
    </w:p>
    <w:p w14:paraId="7E24C03F">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_Toc6146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4.3  </w:t>
      </w:r>
      <w:r>
        <w:rPr>
          <w:rFonts w:hint="default" w:ascii="Times New Roman" w:hAnsi="Times New Roman" w:eastAsia="宋体" w:cs="Times New Roman"/>
          <w:b w:val="0"/>
          <w:bCs w:val="0"/>
          <w:color w:val="0000FF"/>
          <w:sz w:val="24"/>
          <w:szCs w:val="24"/>
          <w:highlight w:val="none"/>
        </w:rPr>
        <w:t>长期性能与耐久性能</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7</w:t>
      </w:r>
    </w:p>
    <w:p w14:paraId="75E53934">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_Toc8456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5  混凝土配合比设计</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2</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9</w:t>
      </w:r>
    </w:p>
    <w:p w14:paraId="65D3329F">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_Toc23810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6  混凝土生产与施工</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0</w:t>
      </w:r>
    </w:p>
    <w:p w14:paraId="5C9D5B1D">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_Toc7456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6.1  </w:t>
      </w:r>
      <w:r>
        <w:rPr>
          <w:rFonts w:hint="default" w:ascii="Times New Roman" w:hAnsi="Times New Roman" w:eastAsia="宋体" w:cs="Times New Roman"/>
          <w:b w:val="0"/>
          <w:bCs w:val="0"/>
          <w:color w:val="0000FF"/>
          <w:sz w:val="24"/>
          <w:szCs w:val="24"/>
          <w:highlight w:val="none"/>
        </w:rPr>
        <w:t>一般规定</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0</w:t>
      </w:r>
    </w:p>
    <w:p w14:paraId="60C4492F">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_Toc21782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6.2  </w:t>
      </w:r>
      <w:r>
        <w:rPr>
          <w:rFonts w:hint="default" w:ascii="Times New Roman" w:hAnsi="Times New Roman" w:eastAsia="宋体" w:cs="Times New Roman"/>
          <w:b w:val="0"/>
          <w:bCs w:val="0"/>
          <w:color w:val="0000FF"/>
          <w:sz w:val="24"/>
          <w:szCs w:val="24"/>
          <w:highlight w:val="none"/>
        </w:rPr>
        <w:t>原材料贮存与计量</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0</w:t>
      </w:r>
    </w:p>
    <w:p w14:paraId="17FADB54">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_Toc1776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6.3  </w:t>
      </w:r>
      <w:r>
        <w:rPr>
          <w:rFonts w:hint="default" w:ascii="Times New Roman" w:hAnsi="Times New Roman" w:eastAsia="宋体" w:cs="Times New Roman"/>
          <w:b w:val="0"/>
          <w:bCs w:val="0"/>
          <w:color w:val="0000FF"/>
          <w:sz w:val="24"/>
          <w:szCs w:val="24"/>
          <w:highlight w:val="none"/>
        </w:rPr>
        <w:t>搅拌与运输</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0</w:t>
      </w:r>
    </w:p>
    <w:p w14:paraId="3EAEA80E">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_Toc1776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6.</w:t>
      </w:r>
      <w:r>
        <w:rPr>
          <w:rFonts w:hint="eastAsia" w:ascii="Times New Roman" w:hAnsi="Times New Roman" w:cs="Times New Roman"/>
          <w:b w:val="0"/>
          <w:bCs w:val="0"/>
          <w:color w:val="0000FF"/>
          <w:sz w:val="24"/>
          <w:szCs w:val="24"/>
          <w:highlight w:val="none"/>
          <w:lang w:val="en-US" w:eastAsia="zh-CN"/>
        </w:rPr>
        <w:t>4</w:t>
      </w:r>
      <w:r>
        <w:rPr>
          <w:rFonts w:hint="default" w:ascii="Times New Roman" w:hAnsi="Times New Roman" w:cs="Times New Roman"/>
          <w:b w:val="0"/>
          <w:bCs w:val="0"/>
          <w:color w:val="0000FF"/>
          <w:sz w:val="24"/>
          <w:szCs w:val="24"/>
          <w:highlight w:val="none"/>
        </w:rPr>
        <w:t xml:space="preserve">  </w:t>
      </w:r>
      <w:r>
        <w:rPr>
          <w:rFonts w:hint="eastAsia" w:ascii="Times New Roman" w:hAnsi="Times New Roman" w:cs="Times New Roman"/>
          <w:b w:val="0"/>
          <w:bCs w:val="0"/>
          <w:color w:val="0000FF"/>
          <w:sz w:val="24"/>
          <w:szCs w:val="24"/>
          <w:highlight w:val="none"/>
          <w:lang w:val="en-US" w:eastAsia="zh-CN"/>
        </w:rPr>
        <w:t>浇筑</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1</w:t>
      </w:r>
    </w:p>
    <w:p w14:paraId="74DBCA76">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_Toc23579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6.5  </w:t>
      </w:r>
      <w:r>
        <w:rPr>
          <w:rFonts w:hint="default" w:ascii="Times New Roman" w:hAnsi="Times New Roman" w:eastAsia="宋体" w:cs="Times New Roman"/>
          <w:b w:val="0"/>
          <w:bCs w:val="0"/>
          <w:color w:val="0000FF"/>
          <w:sz w:val="24"/>
          <w:szCs w:val="24"/>
          <w:highlight w:val="none"/>
        </w:rPr>
        <w:t>养护</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1</w:t>
      </w:r>
    </w:p>
    <w:p w14:paraId="339B9CDE">
      <w:pPr>
        <w:pStyle w:val="14"/>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_Toc29858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7  质量检验</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3</w:t>
      </w:r>
    </w:p>
    <w:p w14:paraId="156175DF">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_Toc6760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7.1  </w:t>
      </w:r>
      <w:r>
        <w:rPr>
          <w:rFonts w:hint="default" w:ascii="Times New Roman" w:hAnsi="Times New Roman" w:eastAsia="宋体" w:cs="Times New Roman"/>
          <w:b w:val="0"/>
          <w:bCs w:val="0"/>
          <w:color w:val="0000FF"/>
          <w:sz w:val="24"/>
          <w:szCs w:val="24"/>
          <w:highlight w:val="none"/>
        </w:rPr>
        <w:t>原材料质量检验</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3</w:t>
      </w:r>
    </w:p>
    <w:p w14:paraId="79371734">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_Toc29878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7.2  </w:t>
      </w:r>
      <w:r>
        <w:rPr>
          <w:rFonts w:hint="default" w:ascii="Times New Roman" w:hAnsi="Times New Roman" w:eastAsia="宋体" w:cs="Times New Roman"/>
          <w:b w:val="0"/>
          <w:bCs w:val="0"/>
          <w:color w:val="0000FF"/>
          <w:sz w:val="24"/>
          <w:szCs w:val="24"/>
          <w:highlight w:val="none"/>
        </w:rPr>
        <w:t>混凝土拌合物性能检验</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3</w:t>
      </w:r>
    </w:p>
    <w:p w14:paraId="3456FB25">
      <w:pPr>
        <w:pStyle w:val="16"/>
        <w:keepNext w:val="0"/>
        <w:keepLines w:val="0"/>
        <w:pageBreakBefore w:val="0"/>
        <w:widowControl/>
        <w:tabs>
          <w:tab w:val="right" w:leader="dot" w:pos="8306"/>
          <w:tab w:val="clear" w:pos="4201"/>
          <w:tab w:val="clear" w:pos="9298"/>
        </w:tabs>
        <w:kinsoku/>
        <w:wordWrap/>
        <w:overflowPunct/>
        <w:topLinePunct w:val="0"/>
        <w:autoSpaceDE w:val="0"/>
        <w:autoSpaceDN w:val="0"/>
        <w:bidi w:val="0"/>
        <w:adjustRightInd/>
        <w:snapToGrid/>
        <w:spacing w:line="400" w:lineRule="exact"/>
        <w:textAlignment w:val="auto"/>
        <w:rPr>
          <w:rFonts w:hint="eastAsia"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rPr>
        <w:fldChar w:fldCharType="begin"/>
      </w:r>
      <w:r>
        <w:rPr>
          <w:rFonts w:hint="default" w:ascii="Times New Roman" w:hAnsi="Times New Roman" w:eastAsia="宋体" w:cs="Times New Roman"/>
          <w:b w:val="0"/>
          <w:bCs w:val="0"/>
          <w:color w:val="0000FF"/>
          <w:sz w:val="24"/>
          <w:szCs w:val="24"/>
          <w:highlight w:val="none"/>
        </w:rPr>
        <w:instrText xml:space="preserve"> HYPERLINK \l _Toc30172 </w:instrText>
      </w:r>
      <w:r>
        <w:rPr>
          <w:rFonts w:hint="default" w:ascii="Times New Roman" w:hAnsi="Times New Roman" w:eastAsia="宋体" w:cs="Times New Roman"/>
          <w:b w:val="0"/>
          <w:bCs w:val="0"/>
          <w:color w:val="0000FF"/>
          <w:sz w:val="24"/>
          <w:szCs w:val="24"/>
          <w:highlight w:val="none"/>
        </w:rPr>
        <w:fldChar w:fldCharType="separate"/>
      </w:r>
      <w:r>
        <w:rPr>
          <w:rFonts w:hint="default" w:ascii="Times New Roman" w:hAnsi="Times New Roman" w:cs="Times New Roman"/>
          <w:b w:val="0"/>
          <w:bCs w:val="0"/>
          <w:color w:val="0000FF"/>
          <w:sz w:val="24"/>
          <w:szCs w:val="24"/>
          <w:highlight w:val="none"/>
        </w:rPr>
        <w:t xml:space="preserve">7.3  </w:t>
      </w:r>
      <w:r>
        <w:rPr>
          <w:rFonts w:hint="default" w:ascii="Times New Roman" w:hAnsi="Times New Roman" w:eastAsia="宋体" w:cs="Times New Roman"/>
          <w:b w:val="0"/>
          <w:bCs w:val="0"/>
          <w:color w:val="0000FF"/>
          <w:sz w:val="24"/>
          <w:szCs w:val="24"/>
          <w:highlight w:val="none"/>
        </w:rPr>
        <w:t>硬化混凝土性能检验</w:t>
      </w:r>
      <w:r>
        <w:rPr>
          <w:rFonts w:hint="default" w:ascii="Times New Roman" w:hAnsi="Times New Roman" w:cs="Times New Roman"/>
          <w:b w:val="0"/>
          <w:bCs w:val="0"/>
          <w:color w:val="0000FF"/>
          <w:sz w:val="24"/>
          <w:szCs w:val="24"/>
          <w:highlight w:val="none"/>
        </w:rPr>
        <w:tab/>
      </w:r>
      <w:r>
        <w:rPr>
          <w:rFonts w:hint="eastAsia" w:ascii="Times New Roman" w:hAnsi="Times New Roman" w:cs="Times New Roman"/>
          <w:b w:val="0"/>
          <w:bCs w:val="0"/>
          <w:color w:val="0000FF"/>
          <w:sz w:val="24"/>
          <w:szCs w:val="24"/>
          <w:highlight w:val="none"/>
          <w:lang w:val="en-US" w:eastAsia="zh-CN"/>
        </w:rPr>
        <w:t>3</w:t>
      </w:r>
      <w:r>
        <w:rPr>
          <w:rFonts w:hint="default" w:ascii="Times New Roman" w:hAnsi="Times New Roman" w:eastAsia="宋体" w:cs="Times New Roman"/>
          <w:b w:val="0"/>
          <w:bCs w:val="0"/>
          <w:color w:val="0000FF"/>
          <w:sz w:val="24"/>
          <w:szCs w:val="24"/>
          <w:highlight w:val="none"/>
        </w:rPr>
        <w:fldChar w:fldCharType="end"/>
      </w:r>
      <w:r>
        <w:rPr>
          <w:rFonts w:hint="eastAsia" w:ascii="Times New Roman" w:hAnsi="Times New Roman" w:eastAsia="宋体" w:cs="Times New Roman"/>
          <w:b w:val="0"/>
          <w:bCs w:val="0"/>
          <w:color w:val="0000FF"/>
          <w:sz w:val="24"/>
          <w:szCs w:val="24"/>
          <w:highlight w:val="none"/>
          <w:lang w:val="en-US" w:eastAsia="zh-CN"/>
        </w:rPr>
        <w:t>3</w:t>
      </w:r>
    </w:p>
    <w:p w14:paraId="0FD9C51F">
      <w:pPr>
        <w:pStyle w:val="83"/>
        <w:tabs>
          <w:tab w:val="right" w:leader="dot" w:pos="8306"/>
        </w:tabs>
        <w:rPr>
          <w:rFonts w:hint="default" w:ascii="Times New Roman Regular" w:hAnsi="Times New Roman Regular" w:eastAsia="宋体" w:cs="Times New Roman Regular"/>
          <w:color w:val="0000FF"/>
          <w:sz w:val="22"/>
          <w:szCs w:val="22"/>
          <w:highlight w:val="none"/>
        </w:rPr>
      </w:pPr>
      <w:r>
        <w:rPr>
          <w:rFonts w:hint="default" w:ascii="Times New Roman Regular" w:hAnsi="Times New Roman Regular" w:eastAsia="宋体" w:cs="Times New Roman Regular"/>
          <w:color w:val="0000FF"/>
          <w:sz w:val="22"/>
          <w:szCs w:val="22"/>
          <w:highlight w:val="none"/>
        </w:rPr>
        <w:fldChar w:fldCharType="end"/>
      </w:r>
    </w:p>
    <w:p w14:paraId="2C0B580A">
      <w:pPr>
        <w:rPr>
          <w:rFonts w:hint="default" w:ascii="Times New Roman Regular" w:hAnsi="Times New Roman Regular" w:cs="Times New Roman Regular"/>
          <w:color w:val="0000FF"/>
          <w:highlight w:val="none"/>
        </w:rPr>
      </w:pPr>
      <w:r>
        <w:rPr>
          <w:rFonts w:hint="default" w:ascii="Times New Roman Regular" w:hAnsi="Times New Roman Regular" w:cs="Times New Roman Regular"/>
          <w:color w:val="0000FF"/>
          <w:highlight w:val="none"/>
        </w:rPr>
        <w:br w:type="page"/>
      </w:r>
      <w:bookmarkStart w:id="245" w:name="_GoBack"/>
      <w:bookmarkEnd w:id="245"/>
    </w:p>
    <w:p w14:paraId="5ED6925C">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color w:val="auto"/>
          <w:sz w:val="32"/>
          <w:szCs w:val="32"/>
          <w:highlight w:val="none"/>
        </w:rPr>
      </w:pPr>
      <w:bookmarkStart w:id="88" w:name="_Toc72400695"/>
      <w:bookmarkStart w:id="89" w:name="_Toc486247930"/>
      <w:bookmarkStart w:id="90" w:name="_Toc23260546"/>
      <w:bookmarkStart w:id="91" w:name="_Toc14810"/>
      <w:bookmarkStart w:id="92" w:name="_Toc14437"/>
      <w:bookmarkStart w:id="93" w:name="_Toc6615"/>
      <w:bookmarkStart w:id="94" w:name="_Toc481589625"/>
      <w:bookmarkStart w:id="95" w:name="_Toc245"/>
      <w:bookmarkStart w:id="96" w:name="_Toc509849362"/>
      <w:bookmarkStart w:id="97" w:name="_Toc509849565"/>
      <w:bookmarkStart w:id="98" w:name="_Toc481586530"/>
      <w:bookmarkStart w:id="99" w:name="_Toc1739476639"/>
      <w:bookmarkStart w:id="100" w:name="_Toc25912871"/>
      <w:bookmarkStart w:id="101" w:name="_Toc10248"/>
      <w:bookmarkStart w:id="102" w:name="_Toc23260875"/>
      <w:bookmarkStart w:id="103" w:name="_Toc19118"/>
      <w:bookmarkStart w:id="104" w:name="_Toc17440"/>
      <w:bookmarkStart w:id="105" w:name="_Toc22895669"/>
      <w:bookmarkStart w:id="106" w:name="_Toc481589833"/>
      <w:bookmarkStart w:id="107" w:name="_Toc472351497"/>
      <w:bookmarkStart w:id="108" w:name="_Toc481589729"/>
      <w:bookmarkStart w:id="109" w:name="_Toc29563"/>
      <w:r>
        <w:rPr>
          <w:rFonts w:hint="default" w:ascii="Times New Roman" w:hAnsi="Times New Roman" w:eastAsia="宋体" w:cs="Times New Roman"/>
          <w:b/>
          <w:bCs/>
          <w:color w:val="auto"/>
          <w:sz w:val="32"/>
          <w:szCs w:val="32"/>
          <w:highlight w:val="none"/>
        </w:rPr>
        <w:t>总  则</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C317B67">
      <w:pPr>
        <w:keepNext w:val="0"/>
        <w:keepLines w:val="0"/>
        <w:pageBreakBefore w:val="0"/>
        <w:kinsoku/>
        <w:wordWrap/>
        <w:overflowPunct/>
        <w:topLinePunct w:val="0"/>
        <w:bidi w:val="0"/>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1.0.1</w:t>
      </w:r>
      <w:r>
        <w:rPr>
          <w:rFonts w:hint="default" w:ascii="Times New Roman" w:hAnsi="Times New Roman" w:eastAsia="宋体" w:cs="Times New Roman"/>
          <w:color w:val="auto"/>
          <w:sz w:val="24"/>
          <w:szCs w:val="24"/>
          <w:highlight w:val="none"/>
        </w:rPr>
        <w:t xml:space="preserve">  本条规定了编制本</w:t>
      </w:r>
      <w:r>
        <w:rPr>
          <w:rFonts w:hint="default" w:ascii="Times New Roman" w:hAnsi="Times New Roman" w:eastAsia="宋体" w:cs="Times New Roman"/>
          <w:color w:val="auto"/>
          <w:sz w:val="24"/>
          <w:szCs w:val="24"/>
          <w:highlight w:val="none"/>
          <w:lang w:val="en-US" w:eastAsia="zh-CN"/>
        </w:rPr>
        <w:t>规范</w:t>
      </w:r>
      <w:r>
        <w:rPr>
          <w:rFonts w:hint="default" w:ascii="Times New Roman" w:hAnsi="Times New Roman" w:eastAsia="宋体" w:cs="Times New Roman"/>
          <w:color w:val="auto"/>
          <w:sz w:val="24"/>
          <w:szCs w:val="24"/>
          <w:highlight w:val="none"/>
        </w:rPr>
        <w:t>的目的是进一步规范并促进</w:t>
      </w:r>
      <w:r>
        <w:rPr>
          <w:rFonts w:hint="eastAsia" w:ascii="Times New Roman" w:hAnsi="Times New Roman" w:eastAsia="宋体" w:cs="Times New Roman"/>
          <w:color w:val="auto"/>
          <w:sz w:val="24"/>
          <w:szCs w:val="24"/>
          <w:highlight w:val="none"/>
          <w:lang w:eastAsia="zh-CN"/>
        </w:rPr>
        <w:t>花岗岩石粉混凝土</w:t>
      </w:r>
      <w:r>
        <w:rPr>
          <w:rFonts w:hint="default" w:ascii="Times New Roman" w:hAnsi="Times New Roman" w:eastAsia="宋体" w:cs="Times New Roman"/>
          <w:color w:val="auto"/>
          <w:sz w:val="24"/>
          <w:szCs w:val="24"/>
          <w:highlight w:val="none"/>
        </w:rPr>
        <w:t>应用技术的发展，在确保建设工程质量时，有统一的</w:t>
      </w:r>
      <w:r>
        <w:rPr>
          <w:rFonts w:hint="eastAsia" w:ascii="Times New Roman" w:hAnsi="Times New Roman" w:eastAsia="宋体" w:cs="Times New Roman"/>
          <w:color w:val="auto"/>
          <w:sz w:val="24"/>
          <w:szCs w:val="24"/>
          <w:highlight w:val="none"/>
          <w:lang w:eastAsia="zh-CN"/>
        </w:rPr>
        <w:t>花岗岩石粉混凝土</w:t>
      </w:r>
      <w:r>
        <w:rPr>
          <w:rFonts w:hint="default" w:ascii="Times New Roman" w:hAnsi="Times New Roman" w:eastAsia="宋体" w:cs="Times New Roman"/>
          <w:color w:val="auto"/>
          <w:sz w:val="24"/>
          <w:szCs w:val="24"/>
          <w:highlight w:val="none"/>
        </w:rPr>
        <w:t>技术</w:t>
      </w:r>
      <w:r>
        <w:rPr>
          <w:rFonts w:hint="default" w:ascii="Times New Roman" w:hAnsi="Times New Roman" w:eastAsia="宋体" w:cs="Times New Roman"/>
          <w:color w:val="auto"/>
          <w:sz w:val="24"/>
          <w:szCs w:val="24"/>
          <w:highlight w:val="none"/>
          <w:lang w:eastAsia="zh-CN"/>
        </w:rPr>
        <w:t>规范</w:t>
      </w:r>
      <w:r>
        <w:rPr>
          <w:rFonts w:hint="default" w:ascii="Times New Roman" w:hAnsi="Times New Roman" w:eastAsia="宋体" w:cs="Times New Roman"/>
          <w:color w:val="auto"/>
          <w:sz w:val="24"/>
          <w:szCs w:val="24"/>
          <w:highlight w:val="none"/>
        </w:rPr>
        <w:t>作为依据，并做到技术先进、安全可靠、经济合理。</w:t>
      </w:r>
    </w:p>
    <w:p w14:paraId="5F10FB6F">
      <w:pPr>
        <w:keepNext w:val="0"/>
        <w:keepLines w:val="0"/>
        <w:pageBreakBefore w:val="0"/>
        <w:kinsoku/>
        <w:wordWrap/>
        <w:overflowPunct/>
        <w:topLinePunct w:val="0"/>
        <w:bidi w:val="0"/>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1.0.2</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eastAsia="zh-CN"/>
        </w:rPr>
        <w:t>本规范</w:t>
      </w:r>
      <w:r>
        <w:rPr>
          <w:rFonts w:hint="default" w:ascii="Times New Roman" w:hAnsi="Times New Roman" w:eastAsia="宋体" w:cs="Times New Roman"/>
          <w:color w:val="auto"/>
          <w:sz w:val="24"/>
          <w:szCs w:val="24"/>
          <w:highlight w:val="none"/>
        </w:rPr>
        <w:t>规定了</w:t>
      </w:r>
      <w:r>
        <w:rPr>
          <w:rFonts w:hint="eastAsia" w:ascii="Times New Roman" w:hAnsi="Times New Roman" w:eastAsia="宋体" w:cs="Times New Roman"/>
          <w:color w:val="auto"/>
          <w:sz w:val="24"/>
          <w:szCs w:val="24"/>
          <w:highlight w:val="none"/>
          <w:lang w:eastAsia="zh-CN"/>
        </w:rPr>
        <w:t>花岗岩石粉混凝土</w:t>
      </w:r>
      <w:r>
        <w:rPr>
          <w:rFonts w:hint="default" w:ascii="Times New Roman" w:hAnsi="Times New Roman" w:eastAsia="宋体" w:cs="Times New Roman"/>
          <w:color w:val="auto"/>
          <w:sz w:val="24"/>
          <w:szCs w:val="24"/>
          <w:highlight w:val="none"/>
        </w:rPr>
        <w:t>的适用范围。随着</w:t>
      </w:r>
      <w:r>
        <w:rPr>
          <w:rFonts w:hint="default" w:ascii="Times New Roman" w:hAnsi="Times New Roman" w:eastAsia="宋体" w:cs="Times New Roman"/>
          <w:bCs w:val="0"/>
          <w:color w:val="auto"/>
          <w:sz w:val="24"/>
          <w:szCs w:val="24"/>
          <w:highlight w:val="none"/>
          <w:lang w:val="en-US" w:eastAsia="zh-CN"/>
        </w:rPr>
        <w:t>国内基础设施建设</w:t>
      </w:r>
      <w:r>
        <w:rPr>
          <w:rFonts w:hint="default" w:ascii="Times New Roman" w:hAnsi="Times New Roman" w:eastAsia="宋体" w:cs="Times New Roman"/>
          <w:color w:val="auto"/>
          <w:sz w:val="24"/>
          <w:szCs w:val="24"/>
          <w:highlight w:val="none"/>
          <w:lang w:val="en-US" w:eastAsia="zh-CN"/>
        </w:rPr>
        <w:t>的不断推进</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使得</w:t>
      </w:r>
      <w:r>
        <w:rPr>
          <w:rFonts w:hint="default" w:ascii="Times New Roman" w:hAnsi="Times New Roman" w:eastAsia="宋体" w:cs="Times New Roman"/>
          <w:color w:val="auto"/>
          <w:sz w:val="24"/>
          <w:szCs w:val="24"/>
          <w:highlight w:val="none"/>
        </w:rPr>
        <w:t>传统矿物掺合料日益紧缺，研究表明，</w:t>
      </w:r>
      <w:r>
        <w:rPr>
          <w:rFonts w:hint="default" w:ascii="Times New Roman" w:hAnsi="Times New Roman" w:eastAsia="宋体" w:cs="Times New Roman"/>
          <w:color w:val="auto"/>
          <w:sz w:val="24"/>
          <w:szCs w:val="24"/>
          <w:highlight w:val="none"/>
          <w:lang w:val="en-US" w:eastAsia="zh-CN"/>
        </w:rPr>
        <w:t>将</w:t>
      </w:r>
      <w:r>
        <w:rPr>
          <w:rFonts w:hint="default" w:ascii="Times New Roman" w:hAnsi="Times New Roman" w:eastAsia="宋体" w:cs="Times New Roman"/>
          <w:color w:val="auto"/>
          <w:sz w:val="24"/>
          <w:szCs w:val="24"/>
          <w:highlight w:val="none"/>
        </w:rPr>
        <w:t>花岗岩石粉</w:t>
      </w:r>
      <w:r>
        <w:rPr>
          <w:rFonts w:hint="default" w:ascii="Times New Roman" w:hAnsi="Times New Roman" w:eastAsia="宋体" w:cs="Times New Roman"/>
          <w:color w:val="auto"/>
          <w:sz w:val="24"/>
          <w:szCs w:val="24"/>
          <w:highlight w:val="none"/>
          <w:lang w:val="en-US" w:eastAsia="zh-CN"/>
        </w:rPr>
        <w:t>应用</w:t>
      </w:r>
      <w:r>
        <w:rPr>
          <w:rFonts w:hint="default" w:ascii="Times New Roman" w:hAnsi="Times New Roman" w:eastAsia="宋体" w:cs="Times New Roman"/>
          <w:color w:val="auto"/>
          <w:sz w:val="24"/>
          <w:szCs w:val="24"/>
          <w:highlight w:val="none"/>
        </w:rPr>
        <w:t>在混凝土中，不仅节约水泥和掺合料用量，改善混凝土的工作性等，还可以解决花岗岩石粉对地方造成的生态环境破坏问题，提高了资源利用率，具有重大的经济效益、环境效益和社会效益。</w:t>
      </w:r>
    </w:p>
    <w:p w14:paraId="07E4EF29">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w:t>
      </w:r>
      <w:r>
        <w:rPr>
          <w:rFonts w:hint="default" w:ascii="Times New Roman" w:hAnsi="Times New Roman" w:eastAsia="宋体" w:cs="Times New Roman"/>
          <w:color w:val="auto"/>
          <w:sz w:val="24"/>
          <w:szCs w:val="24"/>
          <w:highlight w:val="none"/>
          <w:lang w:val="en-US" w:eastAsia="zh-CN"/>
        </w:rPr>
        <w:t>规范</w:t>
      </w:r>
      <w:r>
        <w:rPr>
          <w:rFonts w:hint="default" w:ascii="Times New Roman" w:hAnsi="Times New Roman" w:eastAsia="宋体" w:cs="Times New Roman"/>
          <w:color w:val="auto"/>
          <w:sz w:val="24"/>
          <w:szCs w:val="24"/>
          <w:highlight w:val="none"/>
        </w:rPr>
        <w:t>是在综合</w:t>
      </w:r>
      <w:r>
        <w:rPr>
          <w:rFonts w:hint="default" w:ascii="Times New Roman" w:hAnsi="Times New Roman" w:eastAsia="宋体" w:cs="Times New Roman"/>
          <w:color w:val="auto"/>
          <w:sz w:val="24"/>
          <w:szCs w:val="24"/>
          <w:highlight w:val="none"/>
          <w:lang w:val="en-US" w:eastAsia="zh-CN"/>
        </w:rPr>
        <w:t>参考</w:t>
      </w:r>
      <w:r>
        <w:rPr>
          <w:rFonts w:hint="default" w:ascii="Times New Roman" w:hAnsi="Times New Roman" w:eastAsia="宋体" w:cs="Times New Roman"/>
          <w:color w:val="auto"/>
          <w:sz w:val="24"/>
          <w:szCs w:val="24"/>
          <w:highlight w:val="none"/>
        </w:rPr>
        <w:t>现行行业标准《石灰石粉在混凝土中应用技术规程》JGJ/T 318</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rPr>
        <w:t>《混凝土用复合掺合料》JG/T 486</w:t>
      </w:r>
      <w:r>
        <w:rPr>
          <w:rFonts w:hint="eastAsia" w:ascii="Times New Roman" w:hAnsi="Times New Roman" w:eastAsia="宋体" w:cs="Times New Roman"/>
          <w:color w:val="auto"/>
          <w:sz w:val="24"/>
          <w:szCs w:val="24"/>
          <w:highlight w:val="none"/>
          <w:lang w:val="en-US" w:eastAsia="zh-CN"/>
        </w:rPr>
        <w:t>和《</w:t>
      </w:r>
      <w:r>
        <w:rPr>
          <w:rFonts w:hint="default" w:ascii="Times New Roman" w:hAnsi="Times New Roman"/>
          <w:sz w:val="24"/>
          <w:szCs w:val="24"/>
          <w:highlight w:val="none"/>
        </w:rPr>
        <w:t>矿物掺合料应用技术规范》GB/T 51003</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通过文献调研及验证试验分析</w:t>
      </w:r>
      <w:r>
        <w:rPr>
          <w:rFonts w:hint="default" w:ascii="Times New Roman" w:hAnsi="Times New Roman" w:eastAsia="宋体" w:cs="Times New Roman"/>
          <w:color w:val="auto"/>
          <w:sz w:val="24"/>
          <w:szCs w:val="24"/>
          <w:highlight w:val="none"/>
        </w:rPr>
        <w:t>基础上编制而成</w:t>
      </w:r>
      <w:r>
        <w:rPr>
          <w:rFonts w:hint="default" w:ascii="Times New Roman" w:hAnsi="Times New Roman" w:eastAsia="宋体" w:cs="Times New Roman"/>
          <w:color w:val="auto"/>
          <w:sz w:val="24"/>
          <w:szCs w:val="24"/>
          <w:highlight w:val="none"/>
          <w:lang w:eastAsia="zh-Hans"/>
        </w:rPr>
        <w:t>。</w:t>
      </w:r>
      <w:r>
        <w:rPr>
          <w:rFonts w:hint="default" w:ascii="Times New Roman" w:hAnsi="Times New Roman" w:eastAsia="宋体" w:cs="Times New Roman"/>
          <w:color w:val="auto"/>
          <w:sz w:val="24"/>
          <w:szCs w:val="24"/>
          <w:highlight w:val="none"/>
        </w:rPr>
        <w:t>本</w:t>
      </w:r>
      <w:r>
        <w:rPr>
          <w:rFonts w:hint="default" w:ascii="Times New Roman" w:hAnsi="Times New Roman" w:eastAsia="宋体" w:cs="Times New Roman"/>
          <w:color w:val="auto"/>
          <w:sz w:val="24"/>
          <w:szCs w:val="24"/>
          <w:highlight w:val="none"/>
          <w:lang w:eastAsia="zh-CN"/>
        </w:rPr>
        <w:t>规范</w:t>
      </w:r>
      <w:r>
        <w:rPr>
          <w:rFonts w:hint="default" w:ascii="Times New Roman" w:hAnsi="Times New Roman" w:eastAsia="宋体" w:cs="Times New Roman"/>
          <w:color w:val="auto"/>
          <w:sz w:val="24"/>
          <w:szCs w:val="24"/>
          <w:highlight w:val="none"/>
        </w:rPr>
        <w:t>对</w:t>
      </w:r>
      <w:r>
        <w:rPr>
          <w:rFonts w:hint="eastAsia" w:ascii="Times New Roman" w:hAnsi="Times New Roman" w:eastAsia="宋体" w:cs="Times New Roman"/>
          <w:color w:val="auto"/>
          <w:sz w:val="24"/>
          <w:szCs w:val="24"/>
          <w:highlight w:val="none"/>
          <w:lang w:eastAsia="zh-CN"/>
        </w:rPr>
        <w:t>花岗岩石粉</w:t>
      </w:r>
      <w:r>
        <w:rPr>
          <w:rFonts w:hint="default" w:ascii="Times New Roman" w:hAnsi="Times New Roman" w:eastAsia="宋体" w:cs="Times New Roman"/>
          <w:color w:val="auto"/>
          <w:sz w:val="24"/>
          <w:szCs w:val="24"/>
          <w:highlight w:val="none"/>
        </w:rPr>
        <w:t>在混凝土中应用的原材料优选、配合比设计、施工、质量检验等内容进行了技术规定。</w:t>
      </w:r>
    </w:p>
    <w:p w14:paraId="098AEE8A">
      <w:pPr>
        <w:keepNext w:val="0"/>
        <w:keepLines w:val="0"/>
        <w:pageBreakBefore w:val="0"/>
        <w:kinsoku/>
        <w:wordWrap/>
        <w:overflowPunct/>
        <w:topLinePunct w:val="0"/>
        <w:bidi w:val="0"/>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1.0.3</w:t>
      </w:r>
      <w:r>
        <w:rPr>
          <w:rFonts w:hint="default"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eastAsia="zh-CN"/>
        </w:rPr>
        <w:t>花岗岩石粉</w:t>
      </w:r>
      <w:r>
        <w:rPr>
          <w:rFonts w:hint="default" w:ascii="Times New Roman" w:hAnsi="Times New Roman" w:eastAsia="宋体" w:cs="Times New Roman"/>
          <w:color w:val="auto"/>
          <w:sz w:val="24"/>
          <w:szCs w:val="24"/>
          <w:highlight w:val="none"/>
        </w:rPr>
        <w:t>在混凝土中的应用涉及不同工程类别及国家标准或行业标准，在使用中除应执行本</w:t>
      </w:r>
      <w:r>
        <w:rPr>
          <w:rFonts w:hint="default" w:ascii="Times New Roman" w:hAnsi="Times New Roman" w:eastAsia="宋体" w:cs="Times New Roman"/>
          <w:color w:val="auto"/>
          <w:sz w:val="24"/>
          <w:szCs w:val="24"/>
          <w:highlight w:val="none"/>
          <w:lang w:eastAsia="zh-CN"/>
        </w:rPr>
        <w:t>规范</w:t>
      </w:r>
      <w:r>
        <w:rPr>
          <w:rFonts w:hint="default" w:ascii="Times New Roman" w:hAnsi="Times New Roman" w:eastAsia="宋体" w:cs="Times New Roman"/>
          <w:color w:val="auto"/>
          <w:sz w:val="24"/>
          <w:szCs w:val="24"/>
          <w:highlight w:val="none"/>
        </w:rPr>
        <w:t>外，还应按所属工程类别符合有关的现行国家和行业标准规范的规定。</w:t>
      </w:r>
    </w:p>
    <w:p w14:paraId="58A49CA9">
      <w:pPr>
        <w:keepNext w:val="0"/>
        <w:keepLines w:val="0"/>
        <w:pageBreakBefore w:val="0"/>
        <w:kinsoku/>
        <w:wordWrap/>
        <w:overflowPunct/>
        <w:topLinePunct w:val="0"/>
        <w:bidi w:val="0"/>
        <w:snapToGrid/>
        <w:spacing w:line="400"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14:paraId="1CDCAF1F">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b/>
          <w:bCs/>
          <w:color w:val="auto"/>
          <w:sz w:val="32"/>
          <w:szCs w:val="32"/>
          <w:highlight w:val="none"/>
        </w:rPr>
      </w:pPr>
      <w:bookmarkStart w:id="110" w:name="_Toc481589730"/>
      <w:bookmarkStart w:id="111" w:name="_Toc486247931"/>
      <w:bookmarkStart w:id="112" w:name="_Toc23260876"/>
      <w:bookmarkStart w:id="113" w:name="_Toc25912872"/>
      <w:bookmarkStart w:id="114" w:name="_Toc19001"/>
      <w:bookmarkStart w:id="115" w:name="_Toc29450"/>
      <w:bookmarkStart w:id="116" w:name="_Toc481586531"/>
      <w:bookmarkStart w:id="117" w:name="_Toc24115"/>
      <w:bookmarkStart w:id="118" w:name="_Toc481589834"/>
      <w:bookmarkStart w:id="119" w:name="_Toc23260547"/>
      <w:bookmarkStart w:id="120" w:name="_Toc1688985062"/>
      <w:bookmarkStart w:id="121" w:name="_Toc509849566"/>
      <w:bookmarkStart w:id="122" w:name="_Toc72400696"/>
      <w:bookmarkStart w:id="123" w:name="_Toc481589626"/>
      <w:bookmarkStart w:id="124" w:name="_Toc17952"/>
      <w:bookmarkStart w:id="125" w:name="_Toc19835"/>
      <w:bookmarkStart w:id="126" w:name="_Toc22895670"/>
      <w:bookmarkStart w:id="127" w:name="_Toc509849363"/>
      <w:bookmarkStart w:id="128" w:name="_Toc10338"/>
      <w:bookmarkStart w:id="129" w:name="_Toc472351498"/>
      <w:bookmarkStart w:id="130" w:name="_Toc19208"/>
      <w:bookmarkStart w:id="131" w:name="_Toc5783"/>
      <w:r>
        <w:rPr>
          <w:rFonts w:hint="default" w:ascii="Times New Roman" w:hAnsi="Times New Roman" w:eastAsia="宋体" w:cs="Times New Roman"/>
          <w:b/>
          <w:bCs/>
          <w:color w:val="auto"/>
          <w:sz w:val="32"/>
          <w:szCs w:val="32"/>
          <w:highlight w:val="none"/>
        </w:rPr>
        <w:t>术  语</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D11CF6A">
      <w:pPr>
        <w:keepNext w:val="0"/>
        <w:keepLines w:val="0"/>
        <w:pageBreakBefore w:val="0"/>
        <w:widowControl/>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2.0.1  本条主要结合花岗岩石粉岩性及化学组成对花岗岩石粉进行了定义。根据细度不同将花岗岩石粉分为两级，其中Ⅰ 级石粉多是经过粉磨加工得到，细度较细；Ⅱ 级石粉多为机制砂生产过程中产生的收尘粉。</w:t>
      </w:r>
    </w:p>
    <w:p w14:paraId="0E22DDB2">
      <w:pPr>
        <w:keepNext w:val="0"/>
        <w:keepLines w:val="0"/>
        <w:pageBreakBefore w:val="0"/>
        <w:widowControl/>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2.0.</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本条对矿物掺合料</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进行了定义，</w:t>
      </w:r>
      <w:r>
        <w:rPr>
          <w:rFonts w:hint="default" w:ascii="Times New Roman" w:hAnsi="Times New Roman" w:eastAsia="宋体" w:cs="Times New Roman"/>
          <w:color w:val="auto"/>
          <w:sz w:val="24"/>
          <w:szCs w:val="24"/>
          <w:highlight w:val="none"/>
        </w:rPr>
        <w:t>是参考现行行业标准《</w:t>
      </w:r>
      <w:r>
        <w:rPr>
          <w:rFonts w:hint="default" w:ascii="Times New Roman" w:hAnsi="Times New Roman" w:eastAsia="宋体" w:cs="Times New Roman"/>
          <w:color w:val="auto"/>
          <w:sz w:val="24"/>
          <w:szCs w:val="24"/>
          <w:highlight w:val="none"/>
          <w:lang w:val="en-US" w:eastAsia="zh-CN"/>
        </w:rPr>
        <w:t>混凝土用复合掺合料</w:t>
      </w:r>
      <w:r>
        <w:rPr>
          <w:rFonts w:hint="default" w:ascii="Times New Roman" w:hAnsi="Times New Roman" w:eastAsia="宋体" w:cs="Times New Roman"/>
          <w:color w:val="auto"/>
          <w:sz w:val="24"/>
          <w:szCs w:val="24"/>
          <w:highlight w:val="none"/>
        </w:rPr>
        <w:t xml:space="preserve">》JG/T </w:t>
      </w:r>
      <w:r>
        <w:rPr>
          <w:rFonts w:hint="default" w:ascii="Times New Roman" w:hAnsi="Times New Roman" w:eastAsia="宋体" w:cs="Times New Roman"/>
          <w:color w:val="auto"/>
          <w:sz w:val="24"/>
          <w:szCs w:val="24"/>
          <w:highlight w:val="none"/>
          <w:lang w:val="en-US" w:eastAsia="zh-CN"/>
        </w:rPr>
        <w:t>486的术语内容</w:t>
      </w:r>
      <w:r>
        <w:rPr>
          <w:rFonts w:hint="default" w:ascii="Times New Roman" w:hAnsi="Times New Roman" w:eastAsia="宋体" w:cs="Times New Roman"/>
          <w:color w:val="auto"/>
          <w:sz w:val="24"/>
          <w:szCs w:val="24"/>
          <w:highlight w:val="none"/>
        </w:rPr>
        <w:t>进行</w:t>
      </w:r>
      <w:r>
        <w:rPr>
          <w:rFonts w:hint="default" w:ascii="Times New Roman" w:hAnsi="Times New Roman" w:eastAsia="宋体" w:cs="Times New Roman"/>
          <w:color w:val="auto"/>
          <w:sz w:val="24"/>
          <w:szCs w:val="24"/>
          <w:highlight w:val="none"/>
          <w:lang w:val="en-US" w:eastAsia="zh-CN"/>
        </w:rPr>
        <w:t>定义</w:t>
      </w:r>
      <w:r>
        <w:rPr>
          <w:rFonts w:hint="default" w:ascii="Times New Roman" w:hAnsi="Times New Roman" w:eastAsia="宋体" w:cs="Times New Roman"/>
          <w:color w:val="auto"/>
          <w:sz w:val="24"/>
          <w:szCs w:val="24"/>
          <w:highlight w:val="none"/>
        </w:rPr>
        <w:t>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矿物掺合料可分为活性矿物掺合料和惰性矿物掺合料，活性矿物掺合料是指具有火山灰活性，能够参与水泥水化，与水泥水化产物氢氧化钙发生二次水化反应，如粉煤灰、矿粉和硅灰等；惰性矿物掺合料是指不具备火山灰活性，不参与水化反应的掺合料，如各类惰性石粉。</w:t>
      </w:r>
    </w:p>
    <w:p w14:paraId="48DB8FBD">
      <w:pPr>
        <w:keepNext w:val="0"/>
        <w:keepLines w:val="0"/>
        <w:pageBreakBefore w:val="0"/>
        <w:widowControl/>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2.0.3 本条对</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花岗岩石粉影响系数进行了定义，</w:t>
      </w:r>
      <w:r>
        <w:rPr>
          <w:rFonts w:hint="default" w:ascii="Times New Roman" w:hAnsi="Times New Roman" w:eastAsia="宋体" w:cs="Times New Roman"/>
          <w:color w:val="auto"/>
          <w:sz w:val="24"/>
          <w:szCs w:val="24"/>
          <w:highlight w:val="none"/>
        </w:rPr>
        <w:t>是参考现行行业标准《石灰石粉在混凝土中应用技术规程》JGJ/T 318</w:t>
      </w:r>
      <w:r>
        <w:rPr>
          <w:rFonts w:hint="default" w:ascii="Times New Roman" w:hAnsi="Times New Roman" w:eastAsia="宋体" w:cs="Times New Roman"/>
          <w:color w:val="auto"/>
          <w:sz w:val="24"/>
          <w:szCs w:val="24"/>
          <w:highlight w:val="none"/>
          <w:lang w:val="en-US" w:eastAsia="zh-CN"/>
        </w:rPr>
        <w:t>的术语内容</w:t>
      </w:r>
      <w:r>
        <w:rPr>
          <w:rFonts w:hint="default" w:ascii="Times New Roman" w:hAnsi="Times New Roman" w:eastAsia="宋体" w:cs="Times New Roman"/>
          <w:color w:val="auto"/>
          <w:sz w:val="24"/>
          <w:szCs w:val="24"/>
          <w:highlight w:val="none"/>
        </w:rPr>
        <w:t>进行</w:t>
      </w:r>
      <w:r>
        <w:rPr>
          <w:rFonts w:hint="default" w:ascii="Times New Roman" w:hAnsi="Times New Roman" w:eastAsia="宋体" w:cs="Times New Roman"/>
          <w:color w:val="auto"/>
          <w:sz w:val="24"/>
          <w:szCs w:val="24"/>
          <w:highlight w:val="none"/>
          <w:lang w:val="en-US" w:eastAsia="zh-CN"/>
        </w:rPr>
        <w:t>定义</w:t>
      </w:r>
      <w:r>
        <w:rPr>
          <w:rFonts w:hint="default" w:ascii="Times New Roman" w:hAnsi="Times New Roman" w:eastAsia="宋体" w:cs="Times New Roman"/>
          <w:color w:val="auto"/>
          <w:sz w:val="24"/>
          <w:szCs w:val="24"/>
          <w:highlight w:val="none"/>
        </w:rPr>
        <w:t>的，</w:t>
      </w:r>
      <w:r>
        <w:rPr>
          <w:rFonts w:hint="default" w:ascii="Times New Roman" w:hAnsi="Times New Roman" w:eastAsia="宋体" w:cs="Times New Roman"/>
          <w:color w:val="auto"/>
          <w:sz w:val="24"/>
          <w:szCs w:val="24"/>
          <w:highlight w:val="none"/>
          <w:lang w:val="en-US" w:eastAsia="zh-CN"/>
        </w:rPr>
        <w:t>主要</w:t>
      </w:r>
      <w:r>
        <w:rPr>
          <w:rFonts w:hint="default" w:ascii="Times New Roman" w:hAnsi="Times New Roman" w:eastAsia="宋体" w:cs="Times New Roman"/>
          <w:color w:val="auto"/>
          <w:sz w:val="24"/>
          <w:szCs w:val="24"/>
          <w:highlight w:val="none"/>
        </w:rPr>
        <w:t>考虑标准之间的协调性和延续性。</w:t>
      </w:r>
    </w:p>
    <w:p w14:paraId="6989AAE1">
      <w:pPr>
        <w:keepNext w:val="0"/>
        <w:keepLines w:val="0"/>
        <w:pageBreakBefore w:val="0"/>
        <w:widowControl/>
        <w:kinsoku/>
        <w:wordWrap/>
        <w:overflowPunct/>
        <w:topLinePunct w:val="0"/>
        <w:autoSpaceDE w:val="0"/>
        <w:autoSpaceDN w:val="0"/>
        <w:bidi w:val="0"/>
        <w:adjustRightInd/>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2.0.4 本条对</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花岗岩石粉亚甲蓝值（MB</w:t>
      </w:r>
      <w:r>
        <w:rPr>
          <w:rFonts w:hint="default" w:ascii="Times New Roman" w:hAnsi="Times New Roman" w:eastAsia="宋体" w:cs="Times New Roman"/>
          <w:color w:val="000000" w:themeColor="text1"/>
          <w:sz w:val="24"/>
          <w:szCs w:val="24"/>
          <w:highlight w:val="none"/>
          <w:vertAlign w:val="subscript"/>
          <w:lang w:val="en-US" w:eastAsia="zh-CN"/>
          <w14:textFill>
            <w14:solidFill>
              <w14:schemeClr w14:val="tx1"/>
            </w14:solidFill>
          </w14:textFill>
        </w:rPr>
        <w:t>F</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值）进行了定义，</w:t>
      </w:r>
      <w:r>
        <w:rPr>
          <w:rFonts w:hint="default" w:ascii="Times New Roman" w:hAnsi="Times New Roman" w:eastAsia="宋体" w:cs="Times New Roman"/>
          <w:sz w:val="24"/>
          <w:highlight w:val="none"/>
          <w:lang w:val="en-US" w:eastAsia="zh-CN"/>
        </w:rPr>
        <w:t>用于判定花岗岩石粉吸附性的指标。</w:t>
      </w:r>
      <w:r>
        <w:rPr>
          <w:rFonts w:hint="default" w:ascii="Times New Roman" w:hAnsi="Times New Roman" w:eastAsia="宋体" w:cs="Times New Roman"/>
          <w:color w:val="auto"/>
          <w:sz w:val="24"/>
          <w:szCs w:val="24"/>
          <w:highlight w:val="none"/>
        </w:rPr>
        <w:t>是参考</w:t>
      </w:r>
      <w:r>
        <w:rPr>
          <w:rFonts w:hint="default" w:ascii="Times New Roman" w:hAnsi="Times New Roman" w:eastAsia="宋体" w:cs="Times New Roman"/>
          <w:color w:val="auto"/>
          <w:sz w:val="24"/>
          <w:szCs w:val="24"/>
          <w:highlight w:val="none"/>
          <w:lang w:val="en-US" w:eastAsia="zh-CN"/>
        </w:rPr>
        <w:t>现行行业标准</w:t>
      </w:r>
      <w:r>
        <w:rPr>
          <w:rFonts w:hint="default" w:ascii="Times New Roman" w:hAnsi="Times New Roman" w:eastAsia="宋体" w:cs="Times New Roman"/>
          <w:sz w:val="24"/>
          <w:highlight w:val="none"/>
          <w:lang w:val="en-US" w:eastAsia="zh-CN"/>
        </w:rPr>
        <w:t>《高性能混凝土用骨料》JG/T 568</w:t>
      </w:r>
      <w:r>
        <w:rPr>
          <w:rFonts w:hint="default" w:ascii="Times New Roman" w:hAnsi="Times New Roman" w:eastAsia="宋体" w:cs="Times New Roman"/>
          <w:color w:val="auto"/>
          <w:sz w:val="24"/>
          <w:szCs w:val="24"/>
          <w:highlight w:val="none"/>
          <w:lang w:val="en-US" w:eastAsia="zh-CN"/>
        </w:rPr>
        <w:t>的技术内容</w:t>
      </w:r>
      <w:r>
        <w:rPr>
          <w:rFonts w:hint="default" w:ascii="Times New Roman" w:hAnsi="Times New Roman" w:eastAsia="宋体" w:cs="Times New Roman"/>
          <w:color w:val="auto"/>
          <w:sz w:val="24"/>
          <w:szCs w:val="24"/>
          <w:highlight w:val="none"/>
        </w:rPr>
        <w:t>进行</w:t>
      </w:r>
      <w:r>
        <w:rPr>
          <w:rFonts w:hint="default" w:ascii="Times New Roman" w:hAnsi="Times New Roman" w:eastAsia="宋体" w:cs="Times New Roman"/>
          <w:color w:val="auto"/>
          <w:sz w:val="24"/>
          <w:szCs w:val="24"/>
          <w:highlight w:val="none"/>
          <w:lang w:val="en-US" w:eastAsia="zh-CN"/>
        </w:rPr>
        <w:t>定义</w:t>
      </w:r>
      <w:r>
        <w:rPr>
          <w:rFonts w:hint="default" w:ascii="Times New Roman" w:hAnsi="Times New Roman" w:eastAsia="宋体" w:cs="Times New Roman"/>
          <w:color w:val="auto"/>
          <w:sz w:val="24"/>
          <w:szCs w:val="24"/>
          <w:highlight w:val="none"/>
        </w:rPr>
        <w:t>的，</w:t>
      </w:r>
      <w:r>
        <w:rPr>
          <w:rFonts w:hint="default" w:ascii="Times New Roman" w:hAnsi="Times New Roman" w:eastAsia="宋体" w:cs="Times New Roman"/>
          <w:color w:val="auto"/>
          <w:sz w:val="24"/>
          <w:szCs w:val="24"/>
          <w:highlight w:val="none"/>
          <w:lang w:val="en-US" w:eastAsia="zh-CN"/>
        </w:rPr>
        <w:t>主要为了</w:t>
      </w:r>
      <w:r>
        <w:rPr>
          <w:rFonts w:hint="default" w:ascii="Times New Roman" w:hAnsi="Times New Roman" w:eastAsia="宋体" w:cs="Times New Roman"/>
          <w:sz w:val="24"/>
          <w:highlight w:val="none"/>
          <w:lang w:val="en-US" w:eastAsia="zh-CN"/>
        </w:rPr>
        <w:t>和机制砂中的石粉的MB值相区分</w:t>
      </w:r>
      <w:r>
        <w:rPr>
          <w:rFonts w:hint="default" w:ascii="Times New Roman" w:hAnsi="Times New Roman" w:eastAsia="宋体" w:cs="Times New Roman"/>
          <w:color w:val="auto"/>
          <w:sz w:val="24"/>
          <w:szCs w:val="24"/>
          <w:highlight w:val="none"/>
        </w:rPr>
        <w:t>。</w:t>
      </w:r>
    </w:p>
    <w:p w14:paraId="2C171A37">
      <w:pPr>
        <w:keepNext w:val="0"/>
        <w:keepLines w:val="0"/>
        <w:pageBreakBefore w:val="0"/>
        <w:kinsoku/>
        <w:wordWrap/>
        <w:overflowPunct/>
        <w:topLinePunct w:val="0"/>
        <w:bidi w:val="0"/>
        <w:snapToGrid/>
        <w:spacing w:line="400"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14:paraId="78FFB266">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b/>
          <w:bCs/>
          <w:color w:val="auto"/>
          <w:sz w:val="32"/>
          <w:szCs w:val="32"/>
          <w:highlight w:val="none"/>
          <w:lang w:eastAsia="zh-CN"/>
        </w:rPr>
      </w:pPr>
      <w:bookmarkStart w:id="132" w:name="_Toc151"/>
      <w:bookmarkStart w:id="133" w:name="_Toc10160"/>
      <w:bookmarkStart w:id="134" w:name="_Toc17052"/>
      <w:bookmarkStart w:id="135" w:name="_Toc3793"/>
      <w:bookmarkStart w:id="136" w:name="_Toc26906"/>
      <w:r>
        <w:rPr>
          <w:rFonts w:hint="default" w:ascii="Times New Roman" w:hAnsi="Times New Roman" w:eastAsia="宋体" w:cs="Times New Roman"/>
          <w:b/>
          <w:bCs/>
          <w:color w:val="auto"/>
          <w:sz w:val="32"/>
          <w:szCs w:val="32"/>
          <w:highlight w:val="none"/>
          <w:lang w:val="en-US" w:eastAsia="zh-CN"/>
        </w:rPr>
        <w:t>原材料</w:t>
      </w:r>
      <w:bookmarkEnd w:id="132"/>
      <w:bookmarkEnd w:id="133"/>
      <w:bookmarkEnd w:id="134"/>
      <w:bookmarkEnd w:id="135"/>
      <w:bookmarkEnd w:id="136"/>
    </w:p>
    <w:p w14:paraId="2BF3DFC5">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137" w:name="_Toc4835"/>
      <w:bookmarkStart w:id="138" w:name="_Toc5256"/>
      <w:bookmarkStart w:id="139" w:name="_Toc19493"/>
      <w:bookmarkStart w:id="140" w:name="_Toc563346165"/>
      <w:bookmarkStart w:id="141" w:name="_Toc25724"/>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3.</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1</w:t>
      </w:r>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xml:space="preserve">  花岗岩石粉</w:t>
      </w:r>
      <w:bookmarkEnd w:id="137"/>
      <w:bookmarkEnd w:id="138"/>
      <w:bookmarkEnd w:id="139"/>
      <w:bookmarkEnd w:id="140"/>
      <w:bookmarkEnd w:id="141"/>
    </w:p>
    <w:p w14:paraId="7B3D12C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3.</w:t>
      </w:r>
      <w:r>
        <w:rPr>
          <w:rFonts w:hint="eastAsia"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rPr>
        <w:t>.</w:t>
      </w:r>
      <w:r>
        <w:rPr>
          <w:rFonts w:hint="eastAsia"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流动度比与需水量比都是反映花岗岩石粉同一性能的指标，由于流动度比测定起来相对快捷方便，因此本</w:t>
      </w:r>
      <w:r>
        <w:rPr>
          <w:rFonts w:hint="default" w:ascii="Times New Roman" w:hAnsi="Times New Roman" w:eastAsia="宋体" w:cs="Times New Roman"/>
          <w:color w:val="auto"/>
          <w:sz w:val="24"/>
          <w:szCs w:val="24"/>
          <w:highlight w:val="none"/>
          <w:lang w:eastAsia="zh-CN"/>
        </w:rPr>
        <w:t>规范</w:t>
      </w:r>
      <w:r>
        <w:rPr>
          <w:rFonts w:hint="default" w:ascii="Times New Roman" w:hAnsi="Times New Roman" w:eastAsia="宋体" w:cs="Times New Roman"/>
          <w:color w:val="auto"/>
          <w:sz w:val="24"/>
          <w:szCs w:val="24"/>
          <w:highlight w:val="none"/>
        </w:rPr>
        <w:t>采用流动度比指标。</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lang w:val="en-US" w:eastAsia="zh-CN"/>
        </w:rPr>
        <w:t>石</w:t>
      </w:r>
      <w:r>
        <w:rPr>
          <w:rFonts w:hint="default" w:ascii="Times New Roman" w:hAnsi="Times New Roman" w:eastAsia="宋体" w:cs="Times New Roman"/>
          <w:color w:val="auto"/>
          <w:sz w:val="24"/>
          <w:szCs w:val="24"/>
          <w:highlight w:val="none"/>
        </w:rPr>
        <w:t>粉由于对水和外加剂</w:t>
      </w:r>
      <w:r>
        <w:rPr>
          <w:rFonts w:hint="default" w:ascii="Times New Roman" w:hAnsi="Times New Roman" w:eastAsia="宋体" w:cs="Times New Roman"/>
          <w:color w:val="auto"/>
          <w:sz w:val="24"/>
          <w:szCs w:val="24"/>
          <w:highlight w:val="none"/>
          <w:lang w:val="en-US" w:eastAsia="zh-Hans"/>
        </w:rPr>
        <w:t>有一定吸附性</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Hans"/>
        </w:rPr>
        <w:t>因而会降低拌合物流动性能</w:t>
      </w:r>
      <w:r>
        <w:rPr>
          <w:rFonts w:hint="default" w:ascii="Times New Roman" w:hAnsi="Times New Roman" w:eastAsia="宋体" w:cs="Times New Roman"/>
          <w:color w:val="auto"/>
          <w:sz w:val="24"/>
          <w:szCs w:val="24"/>
          <w:highlight w:val="none"/>
        </w:rPr>
        <w:t>。试验结果表明，</w:t>
      </w:r>
      <w:r>
        <w:rPr>
          <w:rFonts w:hint="default" w:ascii="Times New Roman" w:hAnsi="Times New Roman" w:eastAsia="宋体" w:cs="Times New Roman"/>
          <w:color w:val="auto"/>
          <w:sz w:val="24"/>
          <w:szCs w:val="24"/>
          <w:highlight w:val="none"/>
          <w:lang w:val="en-US" w:eastAsia="zh-Hans"/>
        </w:rPr>
        <w:t>掺入来自不同地区的花岗岩石</w:t>
      </w:r>
      <w:r>
        <w:rPr>
          <w:rFonts w:hint="default" w:ascii="Times New Roman" w:hAnsi="Times New Roman" w:eastAsia="宋体" w:cs="Times New Roman"/>
          <w:color w:val="auto"/>
          <w:sz w:val="24"/>
          <w:szCs w:val="24"/>
          <w:highlight w:val="none"/>
        </w:rPr>
        <w:t>粉</w:t>
      </w:r>
      <w:r>
        <w:rPr>
          <w:rFonts w:hint="default" w:ascii="Times New Roman" w:hAnsi="Times New Roman" w:eastAsia="宋体" w:cs="Times New Roman"/>
          <w:color w:val="auto"/>
          <w:sz w:val="24"/>
          <w:szCs w:val="24"/>
          <w:highlight w:val="none"/>
          <w:lang w:val="en-US" w:eastAsia="zh-Hans"/>
        </w:rPr>
        <w:t>后，拌合物</w:t>
      </w:r>
      <w:r>
        <w:rPr>
          <w:rFonts w:hint="default" w:ascii="Times New Roman" w:hAnsi="Times New Roman" w:eastAsia="宋体" w:cs="Times New Roman"/>
          <w:color w:val="auto"/>
          <w:sz w:val="24"/>
          <w:szCs w:val="24"/>
          <w:highlight w:val="none"/>
        </w:rPr>
        <w:t>流动度比一般接近80%或大于80%。流动度比是衡量</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粉在混凝土中应用是否具有技术价值的重要指标，该指标越高，说明</w:t>
      </w:r>
      <w:r>
        <w:rPr>
          <w:rFonts w:hint="default" w:ascii="Times New Roman" w:hAnsi="Times New Roman" w:eastAsia="宋体" w:cs="Times New Roman"/>
          <w:color w:val="auto"/>
          <w:sz w:val="24"/>
          <w:szCs w:val="24"/>
          <w:highlight w:val="none"/>
          <w:lang w:val="en-US" w:eastAsia="zh-Hans"/>
        </w:rPr>
        <w:t>花岗岩石粉</w:t>
      </w:r>
      <w:r>
        <w:rPr>
          <w:rFonts w:hint="default" w:ascii="Times New Roman" w:hAnsi="Times New Roman" w:eastAsia="宋体" w:cs="Times New Roman"/>
          <w:color w:val="auto"/>
          <w:sz w:val="24"/>
          <w:szCs w:val="24"/>
          <w:highlight w:val="none"/>
        </w:rPr>
        <w:t>对混凝土拌合物和易性</w:t>
      </w:r>
      <w:r>
        <w:rPr>
          <w:rFonts w:hint="default" w:ascii="Times New Roman" w:hAnsi="Times New Roman" w:eastAsia="宋体" w:cs="Times New Roman"/>
          <w:color w:val="auto"/>
          <w:sz w:val="24"/>
          <w:szCs w:val="24"/>
          <w:highlight w:val="none"/>
          <w:lang w:val="en-US" w:eastAsia="zh-Hans"/>
        </w:rPr>
        <w:t>的削弱程度越低</w:t>
      </w:r>
      <w:r>
        <w:rPr>
          <w:rFonts w:hint="default" w:ascii="Times New Roman" w:hAnsi="Times New Roman" w:eastAsia="宋体" w:cs="Times New Roman"/>
          <w:color w:val="auto"/>
          <w:sz w:val="24"/>
          <w:szCs w:val="24"/>
          <w:highlight w:val="none"/>
        </w:rPr>
        <w:t>。还需要说明的是，在掺加减水剂的情况下，</w:t>
      </w:r>
      <w:r>
        <w:rPr>
          <w:rFonts w:hint="default" w:ascii="Times New Roman" w:hAnsi="Times New Roman" w:eastAsia="宋体" w:cs="Times New Roman"/>
          <w:color w:val="auto"/>
          <w:sz w:val="24"/>
          <w:szCs w:val="24"/>
          <w:highlight w:val="none"/>
          <w:lang w:val="en-US" w:eastAsia="zh-Hans"/>
        </w:rPr>
        <w:t>含花岗岩石粉的拌合物流动性可接近基准组。</w:t>
      </w:r>
      <w:r>
        <w:rPr>
          <w:rFonts w:hint="default" w:ascii="Times New Roman" w:hAnsi="Times New Roman" w:eastAsia="宋体" w:cs="Times New Roman"/>
          <w:color w:val="auto"/>
          <w:sz w:val="24"/>
          <w:szCs w:val="24"/>
          <w:highlight w:val="none"/>
        </w:rPr>
        <w:t>品质优良的</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lang w:val="en-US" w:eastAsia="zh-CN"/>
        </w:rPr>
        <w:t>石</w:t>
      </w:r>
      <w:r>
        <w:rPr>
          <w:rFonts w:hint="default" w:ascii="Times New Roman" w:hAnsi="Times New Roman" w:eastAsia="宋体" w:cs="Times New Roman"/>
          <w:color w:val="auto"/>
          <w:sz w:val="24"/>
          <w:szCs w:val="24"/>
          <w:highlight w:val="none"/>
        </w:rPr>
        <w:t>粉对水和外加剂的吸附小，在混凝土中的应用价值更加明显。</w:t>
      </w:r>
    </w:p>
    <w:p w14:paraId="36E588F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Hans"/>
        </w:rPr>
        <w:t>花岗岩石</w:t>
      </w:r>
      <w:r>
        <w:rPr>
          <w:rFonts w:hint="default" w:ascii="Times New Roman" w:hAnsi="Times New Roman" w:eastAsia="宋体" w:cs="Times New Roman"/>
          <w:color w:val="auto"/>
          <w:sz w:val="24"/>
          <w:szCs w:val="24"/>
          <w:highlight w:val="none"/>
        </w:rPr>
        <w:t>粉</w:t>
      </w:r>
      <w:r>
        <w:rPr>
          <w:rFonts w:hint="default" w:ascii="Times New Roman" w:hAnsi="Times New Roman" w:eastAsia="宋体" w:cs="Times New Roman"/>
          <w:color w:val="auto"/>
          <w:sz w:val="24"/>
          <w:szCs w:val="24"/>
          <w:highlight w:val="none"/>
          <w:lang w:val="en-US" w:eastAsia="zh-Hans"/>
        </w:rPr>
        <w:t>的细度选择应平衡</w:t>
      </w:r>
      <w:r>
        <w:rPr>
          <w:rFonts w:hint="default" w:ascii="Times New Roman" w:hAnsi="Times New Roman" w:eastAsia="宋体" w:cs="Times New Roman"/>
          <w:color w:val="auto"/>
          <w:sz w:val="24"/>
          <w:szCs w:val="24"/>
          <w:highlight w:val="none"/>
        </w:rPr>
        <w:t>性能和生产能耗两方面综合考虑。由于细度相对比表面积来说测试比较便捷，应用较广，本</w:t>
      </w:r>
      <w:r>
        <w:rPr>
          <w:rFonts w:hint="default" w:ascii="Times New Roman" w:hAnsi="Times New Roman" w:eastAsia="宋体" w:cs="Times New Roman"/>
          <w:color w:val="auto"/>
          <w:sz w:val="24"/>
          <w:szCs w:val="24"/>
          <w:highlight w:val="none"/>
          <w:lang w:eastAsia="zh-CN"/>
        </w:rPr>
        <w:t>规范</w:t>
      </w:r>
      <w:r>
        <w:rPr>
          <w:rFonts w:hint="default" w:ascii="Times New Roman" w:hAnsi="Times New Roman" w:eastAsia="宋体" w:cs="Times New Roman"/>
          <w:color w:val="auto"/>
          <w:sz w:val="24"/>
          <w:szCs w:val="24"/>
          <w:highlight w:val="none"/>
        </w:rPr>
        <w:t>选用细度指标控制。从平衡</w:t>
      </w:r>
      <w:r>
        <w:rPr>
          <w:rFonts w:hint="default" w:ascii="Times New Roman" w:hAnsi="Times New Roman" w:eastAsia="宋体" w:cs="Times New Roman"/>
          <w:color w:val="auto"/>
          <w:sz w:val="24"/>
          <w:szCs w:val="24"/>
          <w:highlight w:val="none"/>
          <w:lang w:val="en-US" w:eastAsia="zh-Hans"/>
        </w:rPr>
        <w:t>花岗岩石</w:t>
      </w:r>
      <w:r>
        <w:rPr>
          <w:rFonts w:hint="default" w:ascii="Times New Roman" w:hAnsi="Times New Roman" w:eastAsia="宋体" w:cs="Times New Roman"/>
          <w:color w:val="auto"/>
          <w:sz w:val="24"/>
          <w:szCs w:val="24"/>
          <w:highlight w:val="none"/>
        </w:rPr>
        <w:t>粉性能和生产能耗两方面综合考虑确定细度为45µm方孔筛筛余不大于15%</w:t>
      </w:r>
      <w:r>
        <w:rPr>
          <w:rFonts w:hint="default" w:ascii="Times New Roman" w:hAnsi="Times New Roman" w:eastAsia="宋体" w:cs="Times New Roman"/>
          <w:color w:val="auto"/>
          <w:sz w:val="24"/>
          <w:szCs w:val="24"/>
          <w:highlight w:val="none"/>
          <w:lang w:val="en-US" w:eastAsia="zh-Hans"/>
        </w:rPr>
        <w:t>的类型为</w:t>
      </w:r>
      <w:r>
        <w:rPr>
          <w:rFonts w:hint="default" w:ascii="Times New Roman" w:hAnsi="Times New Roman" w:eastAsia="宋体" w:cs="Times New Roman"/>
          <w:color w:val="auto"/>
          <w:sz w:val="24"/>
          <w:szCs w:val="24"/>
          <w:highlight w:val="none"/>
        </w:rPr>
        <w:t>Ⅰ级</w:t>
      </w:r>
      <w:r>
        <w:rPr>
          <w:rFonts w:hint="default" w:ascii="Times New Roman" w:hAnsi="Times New Roman" w:eastAsia="宋体" w:cs="Times New Roman"/>
          <w:color w:val="auto"/>
          <w:sz w:val="24"/>
          <w:szCs w:val="24"/>
          <w:highlight w:val="none"/>
          <w:lang w:eastAsia="zh-Hans"/>
        </w:rPr>
        <w:t>，</w:t>
      </w:r>
      <w:r>
        <w:rPr>
          <w:rFonts w:hint="default" w:ascii="Times New Roman" w:hAnsi="Times New Roman" w:eastAsia="宋体" w:cs="Times New Roman"/>
          <w:color w:val="auto"/>
          <w:sz w:val="24"/>
          <w:szCs w:val="24"/>
          <w:highlight w:val="none"/>
          <w:lang w:val="en-US" w:eastAsia="zh-Hans"/>
        </w:rPr>
        <w:t>大于 1</w:t>
      </w:r>
      <w:r>
        <w:rPr>
          <w:rFonts w:hint="default" w:ascii="Times New Roman" w:hAnsi="Times New Roman" w:eastAsia="宋体" w:cs="Times New Roman"/>
          <w:color w:val="auto"/>
          <w:sz w:val="24"/>
          <w:szCs w:val="24"/>
          <w:highlight w:val="none"/>
          <w:lang w:eastAsia="zh-Hans"/>
        </w:rPr>
        <w:t>5%</w:t>
      </w:r>
      <w:r>
        <w:rPr>
          <w:rFonts w:hint="default" w:ascii="Times New Roman" w:hAnsi="Times New Roman" w:eastAsia="宋体" w:cs="Times New Roman"/>
          <w:color w:val="auto"/>
          <w:sz w:val="24"/>
          <w:szCs w:val="24"/>
          <w:highlight w:val="none"/>
          <w:lang w:val="en-US" w:eastAsia="zh-Hans"/>
        </w:rPr>
        <w:t>且不大于3</w:t>
      </w:r>
      <w:r>
        <w:rPr>
          <w:rFonts w:hint="default" w:ascii="Times New Roman" w:hAnsi="Times New Roman" w:eastAsia="宋体" w:cs="Times New Roman"/>
          <w:color w:val="auto"/>
          <w:sz w:val="24"/>
          <w:szCs w:val="24"/>
          <w:highlight w:val="none"/>
          <w:lang w:eastAsia="zh-Hans"/>
        </w:rPr>
        <w:t>0%</w:t>
      </w:r>
      <w:r>
        <w:rPr>
          <w:rFonts w:hint="default" w:ascii="Times New Roman" w:hAnsi="Times New Roman" w:eastAsia="宋体" w:cs="Times New Roman"/>
          <w:color w:val="auto"/>
          <w:sz w:val="24"/>
          <w:szCs w:val="24"/>
          <w:highlight w:val="none"/>
          <w:lang w:val="en-US" w:eastAsia="zh-Hans"/>
        </w:rPr>
        <w:t>为</w:t>
      </w:r>
      <w:r>
        <w:rPr>
          <w:rFonts w:hint="default" w:ascii="Times New Roman" w:hAnsi="Times New Roman" w:eastAsia="宋体" w:cs="Times New Roman"/>
          <w:color w:val="auto"/>
          <w:sz w:val="24"/>
          <w:szCs w:val="24"/>
          <w:highlight w:val="none"/>
        </w:rPr>
        <w:t>Ⅱ级。</w:t>
      </w:r>
      <w:r>
        <w:rPr>
          <w:rFonts w:hint="default" w:ascii="Times New Roman" w:hAnsi="Times New Roman" w:eastAsia="宋体" w:cs="Times New Roman"/>
          <w:color w:val="auto"/>
          <w:sz w:val="24"/>
          <w:szCs w:val="24"/>
          <w:highlight w:val="none"/>
          <w:lang w:val="en-US" w:eastAsia="zh-CN"/>
        </w:rPr>
        <w:t>通常</w:t>
      </w:r>
      <w:r>
        <w:rPr>
          <w:rFonts w:hint="default" w:ascii="Times New Roman" w:hAnsi="Times New Roman" w:eastAsia="宋体" w:cs="Times New Roman"/>
          <w:color w:val="auto"/>
          <w:sz w:val="24"/>
          <w:szCs w:val="24"/>
          <w:highlight w:val="none"/>
        </w:rPr>
        <w:t>Ⅱ</w:t>
      </w:r>
      <w:r>
        <w:rPr>
          <w:rFonts w:hint="eastAsia"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级</w:t>
      </w:r>
      <w:r>
        <w:rPr>
          <w:rFonts w:hint="default" w:ascii="Times New Roman" w:hAnsi="Times New Roman" w:eastAsia="宋体" w:cs="Times New Roman"/>
          <w:color w:val="auto"/>
          <w:sz w:val="24"/>
          <w:szCs w:val="24"/>
          <w:highlight w:val="none"/>
          <w:lang w:val="en-US" w:eastAsia="zh-CN"/>
        </w:rPr>
        <w:t>花岗岩石粉为机制砂生产过程中收集获得，</w:t>
      </w:r>
      <w:r>
        <w:rPr>
          <w:rFonts w:hint="default" w:ascii="Times New Roman" w:hAnsi="Times New Roman" w:eastAsia="宋体" w:cs="Times New Roman"/>
          <w:color w:val="auto"/>
          <w:sz w:val="24"/>
          <w:szCs w:val="24"/>
          <w:highlight w:val="none"/>
        </w:rPr>
        <w:t>Ⅰ</w:t>
      </w:r>
      <w:r>
        <w:rPr>
          <w:rFonts w:hint="eastAsia"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级</w:t>
      </w:r>
      <w:r>
        <w:rPr>
          <w:rFonts w:hint="default" w:ascii="Times New Roman" w:hAnsi="Times New Roman" w:eastAsia="宋体" w:cs="Times New Roman"/>
          <w:color w:val="auto"/>
          <w:sz w:val="24"/>
          <w:szCs w:val="24"/>
          <w:highlight w:val="none"/>
          <w:lang w:val="en-US" w:eastAsia="zh-CN"/>
        </w:rPr>
        <w:t>花岗岩石粉需要在收集石粉的基础上进一步粉磨加工。在工程应用中</w:t>
      </w:r>
      <w:r>
        <w:rPr>
          <w:rFonts w:hint="default" w:ascii="Times New Roman" w:hAnsi="Times New Roman" w:eastAsia="宋体" w:cs="Times New Roman"/>
          <w:color w:val="auto"/>
          <w:sz w:val="24"/>
          <w:szCs w:val="24"/>
          <w:highlight w:val="none"/>
        </w:rPr>
        <w:t>Ⅱ级</w:t>
      </w:r>
      <w:r>
        <w:rPr>
          <w:rFonts w:hint="default" w:ascii="Times New Roman" w:hAnsi="Times New Roman" w:eastAsia="宋体" w:cs="Times New Roman"/>
          <w:color w:val="auto"/>
          <w:sz w:val="24"/>
          <w:szCs w:val="24"/>
          <w:highlight w:val="none"/>
          <w:lang w:val="en-US" w:eastAsia="zh-CN"/>
        </w:rPr>
        <w:t>花岗岩石粉考虑用于C30强度等级及以下的混凝土。</w:t>
      </w:r>
    </w:p>
    <w:p w14:paraId="3ECCD93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试验表明，</w:t>
      </w:r>
      <w:r>
        <w:rPr>
          <w:rFonts w:hint="default" w:ascii="Times New Roman" w:hAnsi="Times New Roman" w:eastAsia="宋体" w:cs="Times New Roman"/>
          <w:color w:val="auto"/>
          <w:sz w:val="24"/>
          <w:szCs w:val="24"/>
          <w:highlight w:val="none"/>
          <w:lang w:val="en-US" w:eastAsia="zh-Hans"/>
        </w:rPr>
        <w:t>花岗岩石</w:t>
      </w:r>
      <w:r>
        <w:rPr>
          <w:rFonts w:hint="default" w:ascii="Times New Roman" w:hAnsi="Times New Roman" w:eastAsia="宋体" w:cs="Times New Roman"/>
          <w:color w:val="auto"/>
          <w:sz w:val="24"/>
          <w:szCs w:val="24"/>
          <w:highlight w:val="none"/>
        </w:rPr>
        <w:t>粉的7d和28d</w:t>
      </w:r>
      <w:r>
        <w:rPr>
          <w:rFonts w:hint="default" w:ascii="Times New Roman" w:hAnsi="Times New Roman" w:eastAsia="宋体" w:cs="Times New Roman"/>
          <w:color w:val="auto"/>
          <w:sz w:val="24"/>
          <w:szCs w:val="24"/>
          <w:highlight w:val="none"/>
          <w:lang w:val="en-US" w:eastAsia="zh-Hans"/>
        </w:rPr>
        <w:t>抗压强度比</w:t>
      </w:r>
      <w:r>
        <w:rPr>
          <w:rFonts w:hint="default" w:ascii="Times New Roman" w:hAnsi="Times New Roman" w:eastAsia="宋体" w:cs="Times New Roman"/>
          <w:color w:val="auto"/>
          <w:sz w:val="24"/>
          <w:szCs w:val="24"/>
          <w:highlight w:val="none"/>
        </w:rPr>
        <w:t>一般均大于60%，接近于70%，比较容易满足本</w:t>
      </w:r>
      <w:r>
        <w:rPr>
          <w:rFonts w:hint="default" w:ascii="Times New Roman" w:hAnsi="Times New Roman" w:eastAsia="宋体" w:cs="Times New Roman"/>
          <w:color w:val="auto"/>
          <w:sz w:val="24"/>
          <w:szCs w:val="24"/>
          <w:highlight w:val="none"/>
          <w:lang w:eastAsia="zh-CN"/>
        </w:rPr>
        <w:t>规范</w:t>
      </w:r>
      <w:r>
        <w:rPr>
          <w:rFonts w:hint="default" w:ascii="Times New Roman" w:hAnsi="Times New Roman" w:eastAsia="宋体" w:cs="Times New Roman"/>
          <w:color w:val="auto"/>
          <w:sz w:val="24"/>
          <w:szCs w:val="24"/>
          <w:highlight w:val="none"/>
        </w:rPr>
        <w:t>规定的7d和28d</w:t>
      </w:r>
      <w:r>
        <w:rPr>
          <w:rFonts w:hint="default" w:ascii="Times New Roman" w:hAnsi="Times New Roman" w:eastAsia="宋体" w:cs="Times New Roman"/>
          <w:color w:val="auto"/>
          <w:sz w:val="24"/>
          <w:szCs w:val="24"/>
          <w:highlight w:val="none"/>
          <w:lang w:val="en-US" w:eastAsia="zh-Hans"/>
        </w:rPr>
        <w:t>抗压强度比</w:t>
      </w:r>
      <w:r>
        <w:rPr>
          <w:rFonts w:hint="default" w:ascii="Times New Roman" w:hAnsi="Times New Roman" w:eastAsia="宋体" w:cs="Times New Roman"/>
          <w:color w:val="auto"/>
          <w:sz w:val="24"/>
          <w:szCs w:val="24"/>
          <w:highlight w:val="none"/>
        </w:rPr>
        <w:t>不应小于60%。</w:t>
      </w:r>
    </w:p>
    <w:p w14:paraId="2DFFB7F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在上述</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石粉的技术指标中，流动度比、</w:t>
      </w:r>
      <w:r>
        <w:rPr>
          <w:rFonts w:hint="default" w:ascii="Times New Roman" w:hAnsi="Times New Roman" w:eastAsia="宋体" w:cs="Times New Roman"/>
          <w:color w:val="auto"/>
          <w:sz w:val="24"/>
          <w:szCs w:val="24"/>
          <w:highlight w:val="none"/>
          <w:lang w:val="en-US" w:eastAsia="zh-Hans"/>
        </w:rPr>
        <w:t>抗压强度比</w:t>
      </w:r>
      <w:r>
        <w:rPr>
          <w:rFonts w:hint="default" w:ascii="Times New Roman" w:hAnsi="Times New Roman" w:eastAsia="宋体" w:cs="Times New Roman"/>
          <w:color w:val="auto"/>
          <w:sz w:val="24"/>
          <w:szCs w:val="24"/>
          <w:highlight w:val="none"/>
        </w:rPr>
        <w:t>尤为关键。一般情况下，优先选用细度适宜、流动度比大的</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石粉。一般来说，</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石粉越细，在混凝土中的填充效应越明显，有利于改善混凝土的性能，但应考虑细度、性能和能耗之间的平衡关系。因此，选择适宜的细度也是需要综合考虑的。含泥量往往会非常明显的影响到</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石粉的吸附性，含泥量越高，这时不仅需要增加外加剂的用量，还会在一定程度上影响混凝土的拌合物性能和硬化混凝土的性能，从而大大削弱在混凝土中掺用</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石粉带来的技术和经济效益。</w:t>
      </w:r>
    </w:p>
    <w:p w14:paraId="17697D5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该条规定为花岗岩石粉单独作为矿物掺合料使用需要满足的</w:t>
      </w:r>
      <w:r>
        <w:rPr>
          <w:rFonts w:hint="eastAsia" w:ascii="Times New Roman" w:hAnsi="Times New Roman" w:eastAsia="宋体" w:cs="Times New Roman"/>
          <w:color w:val="auto"/>
          <w:sz w:val="24"/>
          <w:szCs w:val="24"/>
          <w:highlight w:val="none"/>
          <w:lang w:val="en-US" w:eastAsia="zh-CN"/>
        </w:rPr>
        <w:t>技术</w:t>
      </w:r>
      <w:r>
        <w:rPr>
          <w:rFonts w:hint="default" w:ascii="Times New Roman" w:hAnsi="Times New Roman" w:eastAsia="宋体" w:cs="Times New Roman"/>
          <w:color w:val="auto"/>
          <w:sz w:val="24"/>
          <w:szCs w:val="24"/>
          <w:highlight w:val="none"/>
          <w:lang w:val="en-US" w:eastAsia="zh-CN"/>
        </w:rPr>
        <w:t>要求，</w:t>
      </w:r>
      <w:r>
        <w:rPr>
          <w:rFonts w:hint="eastAsia" w:ascii="Times New Roman" w:hAnsi="Times New Roman" w:eastAsia="宋体" w:cs="Times New Roman"/>
          <w:color w:val="auto"/>
          <w:sz w:val="24"/>
          <w:szCs w:val="24"/>
          <w:highlight w:val="none"/>
          <w:lang w:val="en-US" w:eastAsia="zh-CN"/>
        </w:rPr>
        <w:t>当花岗岩石粉和其他矿物</w:t>
      </w:r>
      <w:r>
        <w:rPr>
          <w:rFonts w:hint="default" w:ascii="Times New Roman" w:hAnsi="Times New Roman" w:eastAsia="宋体" w:cs="Times New Roman"/>
          <w:color w:val="auto"/>
          <w:sz w:val="24"/>
          <w:szCs w:val="24"/>
          <w:highlight w:val="none"/>
          <w:lang w:val="en-US" w:eastAsia="zh-CN"/>
        </w:rPr>
        <w:t>掺合料</w:t>
      </w:r>
      <w:r>
        <w:rPr>
          <w:rFonts w:hint="eastAsia" w:ascii="Times New Roman" w:hAnsi="Times New Roman" w:eastAsia="宋体" w:cs="Times New Roman"/>
          <w:color w:val="auto"/>
          <w:sz w:val="24"/>
          <w:szCs w:val="24"/>
          <w:highlight w:val="none"/>
          <w:lang w:val="en-US" w:eastAsia="zh-CN"/>
        </w:rPr>
        <w:t>复合</w:t>
      </w:r>
      <w:r>
        <w:rPr>
          <w:rFonts w:hint="default" w:ascii="Times New Roman" w:hAnsi="Times New Roman" w:eastAsia="宋体" w:cs="Times New Roman"/>
          <w:color w:val="auto"/>
          <w:sz w:val="24"/>
          <w:szCs w:val="24"/>
          <w:highlight w:val="none"/>
          <w:lang w:val="en-US" w:eastAsia="zh-CN"/>
        </w:rPr>
        <w:t>使用时，</w:t>
      </w:r>
      <w:r>
        <w:rPr>
          <w:rFonts w:hint="eastAsia" w:ascii="Times New Roman" w:hAnsi="Times New Roman" w:eastAsia="宋体" w:cs="Times New Roman"/>
          <w:color w:val="auto"/>
          <w:sz w:val="24"/>
          <w:szCs w:val="24"/>
          <w:highlight w:val="none"/>
          <w:lang w:val="en-US" w:eastAsia="zh-CN"/>
        </w:rPr>
        <w:t>花岗岩石粉复合掺合料的技术指标不应低于表3.1.2的要求。</w:t>
      </w:r>
    </w:p>
    <w:p w14:paraId="1529D5F0">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142" w:name="_Toc345323659"/>
      <w:bookmarkStart w:id="143" w:name="_Toc331013263"/>
      <w:bookmarkStart w:id="144" w:name="_Toc28375"/>
      <w:bookmarkStart w:id="145" w:name="_Toc28456"/>
      <w:bookmarkStart w:id="146" w:name="_Toc2051079179"/>
      <w:bookmarkStart w:id="147" w:name="_Toc28620"/>
      <w:bookmarkStart w:id="148" w:name="_Toc345416659"/>
      <w:bookmarkStart w:id="149" w:name="_Toc334204954"/>
      <w:bookmarkStart w:id="150" w:name="_Toc946700758_WPSOffice_Level2"/>
      <w:bookmarkStart w:id="151" w:name="_Toc345234191"/>
      <w:bookmarkStart w:id="152" w:name="_Toc26179"/>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3.</w:t>
      </w:r>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2</w:t>
      </w:r>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 xml:space="preserve">  混凝土其他原材料</w:t>
      </w:r>
      <w:bookmarkEnd w:id="142"/>
      <w:bookmarkEnd w:id="143"/>
      <w:bookmarkEnd w:id="144"/>
      <w:bookmarkEnd w:id="145"/>
      <w:bookmarkEnd w:id="146"/>
      <w:bookmarkEnd w:id="147"/>
      <w:bookmarkEnd w:id="148"/>
      <w:bookmarkEnd w:id="149"/>
      <w:bookmarkEnd w:id="150"/>
      <w:bookmarkEnd w:id="151"/>
      <w:bookmarkEnd w:id="152"/>
    </w:p>
    <w:p w14:paraId="704E23EE">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3.</w:t>
      </w:r>
      <w:r>
        <w:rPr>
          <w:rFonts w:hint="eastAsia"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.1</w:t>
      </w:r>
      <w:r>
        <w:rPr>
          <w:rFonts w:hint="default" w:ascii="Times New Roman" w:hAnsi="Times New Roman" w:eastAsia="宋体" w:cs="Times New Roman"/>
          <w:color w:val="auto"/>
          <w:sz w:val="24"/>
          <w:szCs w:val="24"/>
          <w:highlight w:val="none"/>
        </w:rPr>
        <w:t xml:space="preserve">  硅酸盐水泥和普通硅酸盐水泥之外的通用硅酸盐水泥内掺混合材</w:t>
      </w:r>
      <w:r>
        <w:rPr>
          <w:rFonts w:hint="default" w:ascii="Times New Roman" w:hAnsi="Times New Roman" w:eastAsia="宋体" w:cs="Times New Roman"/>
          <w:color w:val="auto"/>
          <w:sz w:val="24"/>
          <w:szCs w:val="24"/>
          <w:highlight w:val="none"/>
          <w:lang w:val="en-US" w:eastAsia="zh-CN"/>
        </w:rPr>
        <w:t>料</w:t>
      </w:r>
      <w:r>
        <w:rPr>
          <w:rFonts w:hint="default" w:ascii="Times New Roman" w:hAnsi="Times New Roman" w:eastAsia="宋体" w:cs="Times New Roman"/>
          <w:color w:val="auto"/>
          <w:sz w:val="24"/>
          <w:szCs w:val="24"/>
          <w:highlight w:val="none"/>
        </w:rPr>
        <w:t>比例高，胶砂强度较低，与之比较，采用普通硅酸盐水泥配制掺加花岗岩石粉的混凝土更具有技术和经济的合理性。</w:t>
      </w:r>
    </w:p>
    <w:p w14:paraId="7BA9515E">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val="0"/>
          <w:color w:val="auto"/>
          <w:sz w:val="24"/>
          <w:szCs w:val="24"/>
          <w:highlight w:val="none"/>
        </w:rPr>
        <w:t>3.</w:t>
      </w:r>
      <w:r>
        <w:rPr>
          <w:rFonts w:hint="eastAsia" w:ascii="Times New Roman" w:hAnsi="Times New Roman" w:eastAsia="宋体" w:cs="Times New Roman"/>
          <w:b/>
          <w:bCs w:val="0"/>
          <w:color w:val="auto"/>
          <w:sz w:val="24"/>
          <w:szCs w:val="24"/>
          <w:highlight w:val="none"/>
          <w:lang w:val="en-US" w:eastAsia="zh-CN"/>
        </w:rPr>
        <w:t>2</w:t>
      </w:r>
      <w:r>
        <w:rPr>
          <w:rFonts w:hint="default" w:ascii="Times New Roman" w:hAnsi="Times New Roman" w:eastAsia="宋体" w:cs="Times New Roman"/>
          <w:b/>
          <w:bCs w:val="0"/>
          <w:color w:val="auto"/>
          <w:sz w:val="24"/>
          <w:szCs w:val="24"/>
          <w:highlight w:val="none"/>
        </w:rPr>
        <w:t>.2</w:t>
      </w:r>
      <w:r>
        <w:rPr>
          <w:rFonts w:hint="default" w:ascii="Times New Roman" w:hAnsi="Times New Roman" w:eastAsia="宋体" w:cs="Times New Roman"/>
          <w:b w:val="0"/>
          <w:bCs/>
          <w:color w:val="auto"/>
          <w:sz w:val="24"/>
          <w:szCs w:val="24"/>
          <w:highlight w:val="none"/>
        </w:rPr>
        <w:t xml:space="preserve">  </w:t>
      </w:r>
      <w:r>
        <w:rPr>
          <w:rFonts w:hint="eastAsia" w:ascii="Times New Roman" w:hAnsi="Times New Roman" w:eastAsia="宋体" w:cs="Times New Roman"/>
          <w:b w:val="0"/>
          <w:bCs/>
          <w:color w:val="auto"/>
          <w:sz w:val="24"/>
          <w:szCs w:val="24"/>
          <w:highlight w:val="none"/>
          <w:lang w:val="en-US" w:eastAsia="zh-CN"/>
        </w:rPr>
        <w:t>花岗岩石粉和粉煤灰、</w:t>
      </w:r>
      <w:r>
        <w:rPr>
          <w:rFonts w:hint="default" w:ascii="Times New Roman" w:hAnsi="Times New Roman" w:eastAsia="宋体" w:cs="Times New Roman"/>
          <w:b w:val="0"/>
          <w:bCs/>
          <w:color w:val="auto"/>
          <w:sz w:val="24"/>
          <w:szCs w:val="24"/>
          <w:highlight w:val="none"/>
        </w:rPr>
        <w:t>粒化高炉矿渣粉</w:t>
      </w:r>
      <w:r>
        <w:rPr>
          <w:rFonts w:hint="eastAsia" w:ascii="Times New Roman" w:hAnsi="Times New Roman" w:eastAsia="宋体" w:cs="Times New Roman"/>
          <w:b w:val="0"/>
          <w:bCs/>
          <w:color w:val="auto"/>
          <w:sz w:val="24"/>
          <w:szCs w:val="24"/>
          <w:highlight w:val="none"/>
          <w:lang w:val="en-US" w:eastAsia="zh-CN"/>
        </w:rPr>
        <w:t>或</w:t>
      </w:r>
      <w:r>
        <w:rPr>
          <w:rFonts w:hint="default" w:ascii="Times New Roman" w:hAnsi="Times New Roman" w:eastAsia="宋体" w:cs="Times New Roman"/>
          <w:b w:val="0"/>
          <w:bCs/>
          <w:color w:val="auto"/>
          <w:sz w:val="24"/>
          <w:szCs w:val="24"/>
          <w:highlight w:val="none"/>
        </w:rPr>
        <w:t>硅灰</w:t>
      </w:r>
      <w:r>
        <w:rPr>
          <w:rFonts w:hint="eastAsia" w:ascii="Times New Roman" w:hAnsi="Times New Roman" w:eastAsia="宋体" w:cs="Times New Roman"/>
          <w:b w:val="0"/>
          <w:bCs/>
          <w:color w:val="auto"/>
          <w:sz w:val="24"/>
          <w:szCs w:val="24"/>
          <w:highlight w:val="none"/>
          <w:lang w:val="en-US" w:eastAsia="zh-CN"/>
        </w:rPr>
        <w:t>等其他矿物掺合料复合使用时，</w:t>
      </w:r>
      <w:r>
        <w:rPr>
          <w:rFonts w:hint="default" w:ascii="Times New Roman" w:hAnsi="Times New Roman" w:eastAsia="宋体" w:cs="Times New Roman"/>
          <w:color w:val="auto"/>
          <w:sz w:val="24"/>
          <w:szCs w:val="24"/>
          <w:highlight w:val="none"/>
        </w:rPr>
        <w:t>其他矿物掺合料应满足</w:t>
      </w:r>
      <w:r>
        <w:rPr>
          <w:rFonts w:hint="eastAsia" w:ascii="Times New Roman" w:hAnsi="Times New Roman" w:eastAsia="宋体" w:cs="Times New Roman"/>
          <w:color w:val="auto"/>
          <w:sz w:val="24"/>
          <w:szCs w:val="24"/>
          <w:highlight w:val="none"/>
          <w:lang w:eastAsia="zh-CN"/>
        </w:rPr>
        <w:t>国家现行有关标准</w:t>
      </w:r>
      <w:r>
        <w:rPr>
          <w:rFonts w:hint="eastAsia" w:ascii="Times New Roman" w:hAnsi="Times New Roman" w:eastAsia="宋体" w:cs="Times New Roman"/>
          <w:color w:val="auto"/>
          <w:sz w:val="24"/>
          <w:szCs w:val="24"/>
          <w:highlight w:val="none"/>
          <w:lang w:val="en-US" w:eastAsia="zh-CN"/>
        </w:rPr>
        <w:t>要求</w:t>
      </w:r>
      <w:r>
        <w:rPr>
          <w:rFonts w:hint="default" w:ascii="Times New Roman" w:hAnsi="Times New Roman" w:eastAsia="宋体" w:cs="Times New Roman"/>
          <w:color w:val="auto"/>
          <w:sz w:val="24"/>
          <w:szCs w:val="24"/>
          <w:highlight w:val="none"/>
        </w:rPr>
        <w:t>。</w:t>
      </w:r>
    </w:p>
    <w:p w14:paraId="7AE12F0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color w:val="auto"/>
          <w:sz w:val="24"/>
          <w:szCs w:val="24"/>
          <w:highlight w:val="none"/>
        </w:rPr>
        <w:t>3.</w:t>
      </w:r>
      <w:r>
        <w:rPr>
          <w:rFonts w:hint="eastAsia" w:ascii="Times New Roman" w:hAnsi="Times New Roman" w:eastAsia="宋体" w:cs="Times New Roman"/>
          <w:b/>
          <w:color w:val="auto"/>
          <w:sz w:val="24"/>
          <w:szCs w:val="24"/>
          <w:highlight w:val="none"/>
          <w:lang w:val="en-US" w:eastAsia="zh-CN"/>
        </w:rPr>
        <w:t>2.3</w:t>
      </w:r>
      <w:r>
        <w:rPr>
          <w:rFonts w:hint="default" w:ascii="Times New Roman" w:hAnsi="Times New Roman" w:eastAsia="宋体" w:cs="Times New Roman"/>
          <w:b/>
          <w:color w:val="auto"/>
          <w:sz w:val="24"/>
          <w:szCs w:val="24"/>
          <w:highlight w:val="none"/>
        </w:rPr>
        <w:t xml:space="preserve">  </w:t>
      </w:r>
      <w:r>
        <w:rPr>
          <w:rFonts w:hint="eastAsia" w:ascii="Times New Roman" w:hAnsi="Times New Roman" w:eastAsia="宋体" w:cs="Times New Roman"/>
          <w:b w:val="0"/>
          <w:bCs/>
          <w:color w:val="auto"/>
          <w:sz w:val="24"/>
          <w:szCs w:val="24"/>
          <w:highlight w:val="none"/>
          <w:lang w:val="en-US" w:eastAsia="zh-CN"/>
        </w:rPr>
        <w:t>花岗岩石粉作为矿物掺合料可用于制备</w:t>
      </w:r>
      <w:r>
        <w:rPr>
          <w:rFonts w:hint="default" w:ascii="Times New Roman" w:hAnsi="Times New Roman" w:eastAsia="宋体" w:cs="Times New Roman"/>
          <w:b w:val="0"/>
          <w:bCs/>
          <w:color w:val="000000"/>
          <w:kern w:val="2"/>
          <w:sz w:val="24"/>
          <w:szCs w:val="24"/>
          <w:highlight w:val="none"/>
          <w:lang w:val="en-US" w:eastAsia="zh-CN" w:bidi="ar-SA"/>
        </w:rPr>
        <w:t>普通混凝土</w:t>
      </w:r>
      <w:r>
        <w:rPr>
          <w:rFonts w:hint="eastAsia" w:ascii="Times New Roman" w:hAnsi="Times New Roman" w:eastAsia="宋体" w:cs="Times New Roman"/>
          <w:b w:val="0"/>
          <w:bCs/>
          <w:color w:val="000000"/>
          <w:kern w:val="2"/>
          <w:sz w:val="24"/>
          <w:szCs w:val="24"/>
          <w:highlight w:val="none"/>
          <w:lang w:val="en-US" w:eastAsia="zh-CN" w:bidi="ar-SA"/>
        </w:rPr>
        <w:t>或</w:t>
      </w:r>
      <w:r>
        <w:rPr>
          <w:rFonts w:hint="default" w:ascii="Times New Roman" w:hAnsi="Times New Roman" w:eastAsia="宋体" w:cs="Times New Roman"/>
          <w:b w:val="0"/>
          <w:bCs/>
          <w:color w:val="000000"/>
          <w:kern w:val="2"/>
          <w:sz w:val="24"/>
          <w:szCs w:val="24"/>
          <w:highlight w:val="none"/>
          <w:lang w:val="en-US" w:eastAsia="zh-CN" w:bidi="ar-SA"/>
        </w:rPr>
        <w:t>高性能混凝土</w:t>
      </w:r>
      <w:r>
        <w:rPr>
          <w:rFonts w:hint="eastAsia" w:ascii="Times New Roman" w:hAnsi="Times New Roman" w:eastAsia="宋体" w:cs="Times New Roman"/>
          <w:b w:val="0"/>
          <w:bCs/>
          <w:color w:val="000000"/>
          <w:kern w:val="2"/>
          <w:sz w:val="24"/>
          <w:szCs w:val="24"/>
          <w:highlight w:val="none"/>
          <w:lang w:val="en-US" w:eastAsia="zh-CN" w:bidi="ar-SA"/>
        </w:rPr>
        <w:t>。对应的不同混凝土的骨料技术要求应该符合现行相关国家标准或行业标准要求。</w:t>
      </w:r>
    </w:p>
    <w:p w14:paraId="496C8B6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3.</w:t>
      </w:r>
      <w:r>
        <w:rPr>
          <w:rFonts w:hint="eastAsia" w:ascii="Times New Roman" w:hAnsi="Times New Roman" w:eastAsia="宋体" w:cs="Times New Roman"/>
          <w:b/>
          <w:color w:val="auto"/>
          <w:sz w:val="24"/>
          <w:szCs w:val="24"/>
          <w:highlight w:val="none"/>
          <w:lang w:val="en-US" w:eastAsia="zh-CN"/>
        </w:rPr>
        <w:t>2.4</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外加剂应与花岗岩石粉等其他矿物掺合料具有良好的适应性。</w:t>
      </w:r>
      <w:r>
        <w:rPr>
          <w:rFonts w:hint="eastAsia" w:ascii="Times New Roman" w:hAnsi="Times New Roman" w:eastAsia="宋体" w:cs="Times New Roman"/>
          <w:color w:val="auto"/>
          <w:sz w:val="24"/>
          <w:szCs w:val="24"/>
          <w:highlight w:val="none"/>
          <w:lang w:val="en-US" w:eastAsia="zh-CN"/>
        </w:rPr>
        <w:t>其</w:t>
      </w:r>
      <w:r>
        <w:rPr>
          <w:rFonts w:hint="default" w:ascii="Times New Roman" w:hAnsi="Times New Roman" w:eastAsia="宋体" w:cs="Times New Roman"/>
          <w:color w:val="000000"/>
          <w:kern w:val="2"/>
          <w:sz w:val="24"/>
          <w:szCs w:val="24"/>
          <w:highlight w:val="none"/>
          <w:lang w:val="en-US" w:eastAsia="zh-CN" w:bidi="ar-SA"/>
        </w:rPr>
        <w:t>适应性应经试验验证。</w:t>
      </w:r>
    </w:p>
    <w:p w14:paraId="0286AAE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3.</w:t>
      </w:r>
      <w:r>
        <w:rPr>
          <w:rFonts w:hint="eastAsia" w:ascii="Times New Roman" w:hAnsi="Times New Roman" w:eastAsia="宋体" w:cs="Times New Roman"/>
          <w:b/>
          <w:color w:val="auto"/>
          <w:sz w:val="24"/>
          <w:szCs w:val="24"/>
          <w:highlight w:val="none"/>
          <w:lang w:val="en-US" w:eastAsia="zh-CN"/>
        </w:rPr>
        <w:t>2.5</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混凝土拌合用水和施工用水应满足现行有关标准规定。</w:t>
      </w:r>
    </w:p>
    <w:p w14:paraId="57672849">
      <w:pPr>
        <w:keepNext w:val="0"/>
        <w:keepLines w:val="0"/>
        <w:pageBreakBefore w:val="0"/>
        <w:kinsoku/>
        <w:wordWrap/>
        <w:overflowPunct/>
        <w:topLinePunct w:val="0"/>
        <w:bidi w:val="0"/>
        <w:snapToGrid/>
        <w:spacing w:line="400"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14:paraId="01290111">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b/>
          <w:bCs/>
          <w:color w:val="auto"/>
          <w:sz w:val="32"/>
          <w:szCs w:val="32"/>
          <w:highlight w:val="none"/>
        </w:rPr>
      </w:pPr>
      <w:bookmarkStart w:id="153" w:name="_Toc1080259809"/>
      <w:bookmarkStart w:id="154" w:name="_Toc30890"/>
      <w:bookmarkStart w:id="155" w:name="_Toc25545"/>
      <w:bookmarkStart w:id="156" w:name="_Toc23928"/>
      <w:bookmarkStart w:id="157" w:name="_Toc16960"/>
      <w:bookmarkStart w:id="158" w:name="_Toc24341"/>
      <w:r>
        <w:rPr>
          <w:rFonts w:hint="default" w:ascii="Times New Roman" w:hAnsi="Times New Roman" w:eastAsia="宋体" w:cs="Times New Roman"/>
          <w:b/>
          <w:bCs/>
          <w:color w:val="auto"/>
          <w:sz w:val="32"/>
          <w:szCs w:val="32"/>
          <w:highlight w:val="none"/>
        </w:rPr>
        <w:t>混凝土性能</w:t>
      </w:r>
      <w:bookmarkEnd w:id="153"/>
      <w:bookmarkEnd w:id="154"/>
      <w:bookmarkEnd w:id="155"/>
      <w:bookmarkEnd w:id="156"/>
      <w:bookmarkEnd w:id="157"/>
      <w:bookmarkEnd w:id="158"/>
    </w:p>
    <w:p w14:paraId="0B8064F7">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159" w:name="_Toc493299083_WPSOffice_Level2"/>
      <w:bookmarkStart w:id="160" w:name="_Toc11733"/>
      <w:bookmarkStart w:id="161" w:name="_Toc14184"/>
      <w:bookmarkStart w:id="162" w:name="_Toc17223"/>
      <w:bookmarkStart w:id="163" w:name="_Toc1099858125"/>
      <w:bookmarkStart w:id="164" w:name="_Toc11355"/>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4.1  拌合物性能</w:t>
      </w:r>
      <w:bookmarkEnd w:id="159"/>
      <w:bookmarkEnd w:id="160"/>
      <w:bookmarkEnd w:id="161"/>
      <w:bookmarkEnd w:id="162"/>
      <w:bookmarkEnd w:id="163"/>
      <w:bookmarkEnd w:id="164"/>
    </w:p>
    <w:p w14:paraId="561A02F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b/>
          <w:color w:val="auto"/>
          <w:sz w:val="24"/>
          <w:szCs w:val="24"/>
          <w:highlight w:val="none"/>
        </w:rPr>
        <w:t xml:space="preserve">4.1.2  </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石粉会在一定程度上降低混凝土的粘聚性，对于掺加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石粉的混凝土应控制拌合物的性能</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使混凝土</w:t>
      </w:r>
      <w:r>
        <w:rPr>
          <w:rFonts w:ascii="宋体" w:hAnsi="宋体" w:eastAsia="宋体" w:cs="宋体"/>
          <w:sz w:val="24"/>
          <w:szCs w:val="24"/>
          <w:highlight w:val="none"/>
        </w:rPr>
        <w:t>施工时具备良好的流动性、黏聚性等工作性，以便于搅拌、运输、浇筑和振捣。花岗岩石粉作为掺合料</w:t>
      </w:r>
      <w:r>
        <w:rPr>
          <w:rFonts w:hint="eastAsia" w:ascii="宋体" w:hAnsi="宋体" w:eastAsia="宋体" w:cs="宋体"/>
          <w:sz w:val="24"/>
          <w:szCs w:val="24"/>
          <w:highlight w:val="none"/>
          <w:lang w:val="en-US" w:eastAsia="zh-CN"/>
        </w:rPr>
        <w:t>制备</w:t>
      </w:r>
      <w:r>
        <w:rPr>
          <w:rFonts w:ascii="宋体" w:hAnsi="宋体" w:eastAsia="宋体" w:cs="宋体"/>
          <w:sz w:val="24"/>
          <w:szCs w:val="24"/>
          <w:highlight w:val="none"/>
        </w:rPr>
        <w:t>混凝土时，拌合物的凝结时间会延长</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在实际应用中需要根据具体配合比调整混凝土的组分，确保其凝结时间符合施工要求。</w:t>
      </w:r>
    </w:p>
    <w:p w14:paraId="673B415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b w:val="0"/>
          <w:bCs w:val="0"/>
          <w:sz w:val="24"/>
          <w:szCs w:val="24"/>
          <w:highlight w:val="none"/>
          <w:lang w:val="en-US" w:eastAsia="zh-CN"/>
        </w:rPr>
      </w:pPr>
      <w:r>
        <w:rPr>
          <w:rFonts w:hint="default" w:ascii="Times New Roman" w:hAnsi="Times New Roman" w:eastAsia="宋体" w:cs="Times New Roman"/>
          <w:b/>
          <w:color w:val="auto"/>
          <w:sz w:val="24"/>
          <w:szCs w:val="24"/>
          <w:highlight w:val="none"/>
        </w:rPr>
        <w:t>4.1.</w:t>
      </w:r>
      <w:r>
        <w:rPr>
          <w:rFonts w:hint="eastAsia" w:ascii="Times New Roman" w:hAnsi="Times New Roman" w:eastAsia="宋体" w:cs="Times New Roman"/>
          <w:b/>
          <w:color w:val="auto"/>
          <w:sz w:val="24"/>
          <w:szCs w:val="24"/>
          <w:highlight w:val="none"/>
          <w:lang w:val="en-US" w:eastAsia="zh-CN"/>
        </w:rPr>
        <w:t>2~4.1.3</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本条规定</w:t>
      </w:r>
      <w:r>
        <w:rPr>
          <w:rFonts w:hint="eastAsia" w:ascii="Times New Roman" w:hAnsi="Times New Roman" w:eastAsia="宋体" w:cs="Times New Roman"/>
          <w:color w:val="auto"/>
          <w:sz w:val="24"/>
          <w:szCs w:val="24"/>
          <w:highlight w:val="none"/>
          <w:lang w:val="en-US" w:eastAsia="zh-CN"/>
        </w:rPr>
        <w:t>了</w:t>
      </w:r>
      <w:r>
        <w:rPr>
          <w:rFonts w:hint="eastAsia" w:ascii="Times New Roman" w:hAnsi="Times New Roman" w:cs="Times New Roman"/>
          <w:b w:val="0"/>
          <w:bCs w:val="0"/>
          <w:sz w:val="24"/>
          <w:szCs w:val="24"/>
          <w:highlight w:val="none"/>
          <w:lang w:val="en-US" w:eastAsia="zh-CN"/>
        </w:rPr>
        <w:t>花岗岩石粉</w:t>
      </w:r>
      <w:r>
        <w:rPr>
          <w:rFonts w:hint="default" w:ascii="Times New Roman" w:hAnsi="Times New Roman" w:cs="Times New Roman" w:eastAsiaTheme="minorEastAsia"/>
          <w:b w:val="0"/>
          <w:bCs w:val="0"/>
          <w:sz w:val="24"/>
          <w:szCs w:val="24"/>
          <w:highlight w:val="none"/>
        </w:rPr>
        <w:t>混凝土拌合物坍落度和扩展度的等级划分</w:t>
      </w:r>
      <w:r>
        <w:rPr>
          <w:rFonts w:hint="eastAsia" w:ascii="Times New Roman" w:hAnsi="Times New Roman" w:cs="Times New Roman"/>
          <w:b w:val="0"/>
          <w:bCs w:val="0"/>
          <w:sz w:val="24"/>
          <w:szCs w:val="24"/>
          <w:highlight w:val="none"/>
          <w:lang w:val="en-US" w:eastAsia="zh-CN"/>
        </w:rPr>
        <w:t>及</w:t>
      </w:r>
      <w:r>
        <w:rPr>
          <w:rFonts w:hint="default" w:ascii="Times New Roman" w:hAnsi="Times New Roman" w:cs="Times New Roman" w:eastAsiaTheme="minorEastAsia"/>
          <w:b w:val="0"/>
          <w:bCs w:val="0"/>
          <w:sz w:val="24"/>
          <w:szCs w:val="24"/>
          <w:highlight w:val="none"/>
        </w:rPr>
        <w:t>坍落度和扩展度的实测值与控制目标值的允许偏差</w:t>
      </w:r>
      <w:r>
        <w:rPr>
          <w:rFonts w:hint="eastAsia" w:ascii="Times New Roman" w:hAnsi="Times New Roman" w:cs="Times New Roman"/>
          <w:b w:val="0"/>
          <w:bCs w:val="0"/>
          <w:sz w:val="24"/>
          <w:szCs w:val="24"/>
          <w:highlight w:val="none"/>
          <w:lang w:eastAsia="zh-CN"/>
        </w:rPr>
        <w:t>，</w:t>
      </w:r>
      <w:r>
        <w:rPr>
          <w:rFonts w:hint="eastAsia" w:ascii="Times New Roman" w:hAnsi="Times New Roman" w:cs="Times New Roman"/>
          <w:b w:val="0"/>
          <w:bCs w:val="0"/>
          <w:sz w:val="24"/>
          <w:szCs w:val="24"/>
          <w:highlight w:val="none"/>
          <w:lang w:val="en-US" w:eastAsia="zh-CN"/>
        </w:rPr>
        <w:t>均需要符合现行国家标准</w:t>
      </w:r>
      <w:r>
        <w:rPr>
          <w:rFonts w:hint="eastAsia" w:ascii="Times New Roman" w:hAnsi="Times New Roman" w:cs="Times New Roman"/>
          <w:b w:val="0"/>
          <w:bCs w:val="0"/>
          <w:sz w:val="24"/>
          <w:szCs w:val="24"/>
          <w:highlight w:val="none"/>
          <w:lang w:eastAsia="zh-CN"/>
        </w:rPr>
        <w:t>《预拌混凝土》</w:t>
      </w:r>
      <w:r>
        <w:rPr>
          <w:rFonts w:hint="default" w:ascii="Times New Roman" w:hAnsi="Times New Roman" w:cs="Times New Roman" w:eastAsiaTheme="minorEastAsia"/>
          <w:b w:val="0"/>
          <w:bCs w:val="0"/>
          <w:sz w:val="24"/>
          <w:szCs w:val="24"/>
          <w:highlight w:val="none"/>
          <w:lang w:val="en-US" w:eastAsia="zh-CN"/>
        </w:rPr>
        <w:t>GB/T 14902的规定</w:t>
      </w:r>
      <w:r>
        <w:rPr>
          <w:rFonts w:hint="eastAsia" w:ascii="Times New Roman" w:hAnsi="Times New Roman" w:cs="Times New Roman"/>
          <w:b w:val="0"/>
          <w:bCs w:val="0"/>
          <w:sz w:val="24"/>
          <w:szCs w:val="24"/>
          <w:highlight w:val="none"/>
          <w:lang w:val="en-US" w:eastAsia="zh-CN"/>
        </w:rPr>
        <w:t>。</w:t>
      </w:r>
    </w:p>
    <w:p w14:paraId="7ABE4A9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b w:val="0"/>
          <w:bCs w:val="0"/>
          <w:sz w:val="24"/>
          <w:szCs w:val="24"/>
          <w:highlight w:val="none"/>
          <w:lang w:val="en-US" w:eastAsia="zh-CN"/>
        </w:rPr>
      </w:pPr>
      <w:r>
        <w:rPr>
          <w:rFonts w:hint="eastAsia" w:ascii="Times New Roman" w:hAnsi="Times New Roman" w:cs="Times New Roman"/>
          <w:b/>
          <w:bCs/>
          <w:sz w:val="24"/>
          <w:szCs w:val="24"/>
          <w:highlight w:val="none"/>
          <w:lang w:val="en-US" w:eastAsia="zh-CN"/>
        </w:rPr>
        <w:t>4.1.4</w:t>
      </w:r>
      <w:r>
        <w:rPr>
          <w:rFonts w:hint="eastAsia"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b w:val="0"/>
          <w:bCs w:val="0"/>
          <w:sz w:val="24"/>
          <w:szCs w:val="24"/>
          <w:highlight w:val="none"/>
          <w:lang w:val="en-US" w:eastAsia="zh-CN"/>
        </w:rPr>
        <w:t>本条规定了花岗岩石粉混凝土拌合物的含气量要求，以确保其在不同环境条件下的性能</w:t>
      </w:r>
      <w:r>
        <w:rPr>
          <w:rFonts w:hint="eastAsia" w:ascii="Times New Roman" w:hAnsi="Times New Roman" w:cs="Times New Roman"/>
          <w:b w:val="0"/>
          <w:bCs w:val="0"/>
          <w:sz w:val="24"/>
          <w:szCs w:val="24"/>
          <w:highlight w:val="none"/>
          <w:lang w:val="en-US" w:eastAsia="zh-CN"/>
        </w:rPr>
        <w:t>。</w:t>
      </w:r>
      <w:r>
        <w:rPr>
          <w:rFonts w:hint="default" w:ascii="Times New Roman" w:hAnsi="Times New Roman" w:cs="Times New Roman"/>
          <w:b w:val="0"/>
          <w:bCs w:val="0"/>
          <w:sz w:val="24"/>
          <w:szCs w:val="24"/>
          <w:highlight w:val="none"/>
          <w:lang w:val="en-US" w:eastAsia="zh-CN"/>
        </w:rPr>
        <w:t>在一般情况下，花岗岩石粉混凝土的含气量实测值不宜超过7%，以避免因含气量过高导致混凝土强度下降。在冻融环境条件下，为保证混凝土的抗冻性能，其含气量应满足《混凝土结构耐久性设计标准》GB/T 50476 的具体要求。而在无抗冻要求的一般环境条件下，如果掺用引气剂或引气型外加剂，则含气量应符合《混凝土质量控制标准》GB 50164 的规定。通过对含气量的限制和控制，能够有效提高混凝土的耐久性和适用性，满足工程需求。</w:t>
      </w:r>
    </w:p>
    <w:p w14:paraId="75ED7C1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cs="Times New Roman"/>
          <w:b w:val="0"/>
          <w:bCs w:val="0"/>
          <w:sz w:val="24"/>
          <w:szCs w:val="24"/>
          <w:highlight w:val="none"/>
          <w:lang w:val="en-US" w:eastAsia="zh-CN"/>
        </w:rPr>
      </w:pPr>
      <w:r>
        <w:rPr>
          <w:rFonts w:hint="eastAsia" w:ascii="Times New Roman" w:hAnsi="Times New Roman" w:cs="Times New Roman"/>
          <w:b/>
          <w:bCs/>
          <w:sz w:val="24"/>
          <w:szCs w:val="24"/>
          <w:highlight w:val="none"/>
          <w:lang w:val="en-US" w:eastAsia="zh-CN"/>
        </w:rPr>
        <w:t xml:space="preserve">4.1.5 </w:t>
      </w:r>
      <w:r>
        <w:rPr>
          <w:rFonts w:hint="eastAsia" w:ascii="Times New Roman" w:hAnsi="Times New Roman" w:cs="Times New Roman"/>
          <w:b w:val="0"/>
          <w:bCs w:val="0"/>
          <w:sz w:val="24"/>
          <w:szCs w:val="24"/>
          <w:highlight w:val="none"/>
          <w:lang w:val="en-US" w:eastAsia="zh-CN"/>
        </w:rPr>
        <w:t>将混凝土拌合物中水溶性氯离子最大含量由水泥质量调整为胶凝材料用量。补充明确：计算水溶性氯离子最大含量时，辅助胶凝材料的量不应大于硅酸盐水泥的量，辅助胶凝材料主要是指粉煤灰、硅灰、粒化矿渣粉等具有胶凝活性的矿物掺合料。当采用P·I型硅酸盐水泥时，硅酸盐水泥的量即为水泥用量；当采用除P·I型硅酸盐水泥以外的其他类型的硅酸盐水泥时，硅酸盐水泥的量以水泥用量减去混合材用量计算。水泥中的混合材掺量应按水泥厂家提供的出厂数据确定。</w:t>
      </w:r>
    </w:p>
    <w:p w14:paraId="676E27C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b w:val="0"/>
          <w:bCs w:val="0"/>
          <w:sz w:val="24"/>
          <w:szCs w:val="24"/>
          <w:highlight w:val="none"/>
          <w:lang w:eastAsia="zh-CN"/>
        </w:rPr>
      </w:pPr>
    </w:p>
    <w:p w14:paraId="70949F05">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165" w:name="_Toc345323662"/>
      <w:bookmarkStart w:id="166" w:name="_Toc303867755"/>
      <w:bookmarkStart w:id="167" w:name="_Toc345234194"/>
      <w:bookmarkStart w:id="168" w:name="_Toc345416662"/>
      <w:bookmarkStart w:id="169" w:name="_Toc13575"/>
      <w:bookmarkStart w:id="170" w:name="_Toc18684"/>
      <w:bookmarkStart w:id="171" w:name="_Toc303868348"/>
      <w:bookmarkStart w:id="172" w:name="_Toc1923757146"/>
      <w:bookmarkStart w:id="173" w:name="_Toc334204957"/>
      <w:bookmarkStart w:id="174" w:name="_Toc1590810561_WPSOffice_Level2"/>
      <w:bookmarkStart w:id="175" w:name="_Toc175632224"/>
      <w:bookmarkStart w:id="176" w:name="_Toc14364"/>
      <w:bookmarkStart w:id="177" w:name="_Toc331013266"/>
      <w:bookmarkStart w:id="178" w:name="_Toc18120"/>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4.2  力学性能</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1F2979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b w:val="0"/>
          <w:bCs/>
          <w:sz w:val="24"/>
          <w:szCs w:val="24"/>
          <w:highlight w:val="none"/>
          <w:lang w:val="en-US" w:eastAsia="zh-CN"/>
        </w:rPr>
      </w:pPr>
      <w:r>
        <w:rPr>
          <w:rFonts w:hint="default" w:ascii="Times New Roman" w:hAnsi="Times New Roman" w:eastAsia="宋体" w:cs="Times New Roman"/>
          <w:b/>
          <w:color w:val="auto"/>
          <w:sz w:val="24"/>
          <w:szCs w:val="24"/>
          <w:highlight w:val="none"/>
        </w:rPr>
        <w:t xml:space="preserve">4.2.1 </w:t>
      </w:r>
      <w:r>
        <w:rPr>
          <w:rFonts w:hint="eastAsia" w:ascii="Times New Roman" w:hAnsi="Times New Roman" w:eastAsia="宋体" w:cs="Times New Roman"/>
          <w:b w:val="0"/>
          <w:bCs/>
          <w:color w:val="auto"/>
          <w:sz w:val="24"/>
          <w:szCs w:val="24"/>
          <w:highlight w:val="none"/>
          <w:lang w:val="en-US" w:eastAsia="zh-CN"/>
        </w:rPr>
        <w:t>本条</w:t>
      </w:r>
      <w:r>
        <w:rPr>
          <w:rFonts w:hint="default" w:ascii="Times New Roman" w:hAnsi="Times New Roman" w:cs="Times New Roman"/>
          <w:b w:val="0"/>
          <w:bCs/>
          <w:sz w:val="24"/>
          <w:szCs w:val="24"/>
          <w:highlight w:val="none"/>
          <w:lang w:val="en-US" w:eastAsia="zh-CN"/>
        </w:rPr>
        <w:t>规定了</w:t>
      </w:r>
      <w:r>
        <w:rPr>
          <w:rFonts w:hint="eastAsia" w:ascii="Times New Roman" w:cs="Times New Roman" w:eastAsiaTheme="minorEastAsia"/>
          <w:b w:val="0"/>
          <w:bCs/>
          <w:sz w:val="24"/>
          <w:szCs w:val="24"/>
          <w:highlight w:val="none"/>
          <w:lang w:val="en-US" w:eastAsia="zh-CN" w:bidi="ar-SA"/>
        </w:rPr>
        <w:t>花岗岩石粉</w:t>
      </w:r>
      <w:r>
        <w:rPr>
          <w:rFonts w:hint="default" w:ascii="Times New Roman" w:hAnsi="Times New Roman" w:cs="Times New Roman" w:eastAsiaTheme="minorEastAsia"/>
          <w:b w:val="0"/>
          <w:bCs/>
          <w:sz w:val="24"/>
          <w:szCs w:val="24"/>
          <w:highlight w:val="none"/>
          <w:lang w:val="en-US" w:eastAsia="zh-CN" w:bidi="ar-SA"/>
        </w:rPr>
        <w:t>混凝土</w:t>
      </w:r>
      <w:r>
        <w:rPr>
          <w:rFonts w:hint="eastAsia" w:ascii="Times New Roman" w:hAnsi="Times New Roman" w:cs="Times New Roman"/>
          <w:b w:val="0"/>
          <w:bCs/>
          <w:sz w:val="24"/>
          <w:szCs w:val="24"/>
          <w:highlight w:val="none"/>
          <w:lang w:val="en-US" w:eastAsia="zh-CN" w:bidi="ar-SA"/>
        </w:rPr>
        <w:t>的</w:t>
      </w:r>
      <w:r>
        <w:rPr>
          <w:rFonts w:hint="default" w:ascii="Times New Roman" w:hAnsi="Times New Roman" w:cs="Times New Roman" w:eastAsiaTheme="minorEastAsia"/>
          <w:b w:val="0"/>
          <w:bCs/>
          <w:sz w:val="24"/>
          <w:szCs w:val="24"/>
          <w:highlight w:val="none"/>
          <w:lang w:val="en-US" w:eastAsia="zh-CN" w:bidi="ar-SA"/>
        </w:rPr>
        <w:t>强度等级</w:t>
      </w:r>
      <w:r>
        <w:rPr>
          <w:rFonts w:hint="eastAsia" w:ascii="Times New Roman" w:hAnsi="Times New Roman" w:cs="Times New Roman"/>
          <w:b w:val="0"/>
          <w:bCs/>
          <w:sz w:val="24"/>
          <w:szCs w:val="24"/>
          <w:highlight w:val="none"/>
          <w:lang w:val="en-US" w:eastAsia="zh-CN" w:bidi="ar-SA"/>
        </w:rPr>
        <w:t>，和</w:t>
      </w:r>
      <w:r>
        <w:rPr>
          <w:rFonts w:hint="eastAsia" w:ascii="Times New Roman" w:hAnsi="Times New Roman" w:cs="Times New Roman"/>
          <w:b w:val="0"/>
          <w:bCs/>
          <w:sz w:val="24"/>
          <w:szCs w:val="24"/>
          <w:highlight w:val="none"/>
          <w:lang w:val="en-US" w:eastAsia="zh-CN"/>
        </w:rPr>
        <w:t>现行国家标准</w:t>
      </w:r>
      <w:r>
        <w:rPr>
          <w:rFonts w:hint="eastAsia" w:ascii="Times New Roman" w:hAnsi="Times New Roman" w:cs="Times New Roman"/>
          <w:b w:val="0"/>
          <w:bCs/>
          <w:sz w:val="24"/>
          <w:szCs w:val="24"/>
          <w:highlight w:val="none"/>
          <w:lang w:eastAsia="zh-CN"/>
        </w:rPr>
        <w:t>《预拌混凝土》</w:t>
      </w:r>
      <w:r>
        <w:rPr>
          <w:rFonts w:hint="default" w:ascii="Times New Roman" w:hAnsi="Times New Roman" w:cs="Times New Roman" w:eastAsiaTheme="minorEastAsia"/>
          <w:b w:val="0"/>
          <w:bCs/>
          <w:sz w:val="24"/>
          <w:szCs w:val="24"/>
          <w:highlight w:val="none"/>
          <w:lang w:val="en-US" w:eastAsia="zh-CN"/>
        </w:rPr>
        <w:t>GB/T 14902的</w:t>
      </w:r>
      <w:r>
        <w:rPr>
          <w:rFonts w:hint="eastAsia" w:ascii="Times New Roman" w:hAnsi="Times New Roman" w:cs="Times New Roman"/>
          <w:b w:val="0"/>
          <w:bCs/>
          <w:sz w:val="24"/>
          <w:szCs w:val="24"/>
          <w:highlight w:val="none"/>
          <w:lang w:val="en-US" w:eastAsia="zh-CN"/>
        </w:rPr>
        <w:t>强度等级相协调。</w:t>
      </w:r>
    </w:p>
    <w:p w14:paraId="7386DB1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 xml:space="preserve">4.2.2 </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w:t>
      </w:r>
      <w:r>
        <w:rPr>
          <w:rFonts w:hint="default" w:ascii="Times New Roman" w:hAnsi="Times New Roman" w:eastAsia="宋体" w:cs="Times New Roman"/>
          <w:color w:val="auto"/>
          <w:sz w:val="24"/>
          <w:szCs w:val="24"/>
          <w:highlight w:val="none"/>
          <w:lang w:val="en-US" w:eastAsia="zh-Hans"/>
        </w:rPr>
        <w:t>属于</w:t>
      </w:r>
      <w:r>
        <w:rPr>
          <w:rFonts w:hint="default" w:ascii="Times New Roman" w:hAnsi="Times New Roman" w:eastAsia="宋体" w:cs="Times New Roman"/>
          <w:color w:val="auto"/>
          <w:sz w:val="24"/>
          <w:szCs w:val="24"/>
          <w:highlight w:val="none"/>
        </w:rPr>
        <w:t>惰性填充材料，</w:t>
      </w:r>
      <w:r>
        <w:rPr>
          <w:rFonts w:hint="eastAsia" w:ascii="Times New Roman" w:hAnsi="Times New Roman" w:eastAsia="宋体" w:cs="Times New Roman"/>
          <w:color w:val="auto"/>
          <w:sz w:val="24"/>
          <w:szCs w:val="24"/>
          <w:highlight w:val="none"/>
          <w:lang w:val="en-US" w:eastAsia="zh-CN"/>
        </w:rPr>
        <w:t>作为单一矿物掺合料用于混凝土，会降低混凝土强度</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但是</w:t>
      </w:r>
      <w:r>
        <w:rPr>
          <w:rFonts w:hint="default" w:ascii="Times New Roman" w:hAnsi="Times New Roman" w:eastAsia="宋体" w:cs="Times New Roman"/>
          <w:color w:val="auto"/>
          <w:sz w:val="24"/>
          <w:szCs w:val="24"/>
          <w:highlight w:val="none"/>
          <w:lang w:val="en-US" w:eastAsia="zh-Hans"/>
        </w:rPr>
        <w:t>将其与</w:t>
      </w:r>
      <w:r>
        <w:rPr>
          <w:rFonts w:hint="eastAsia" w:ascii="Times New Roman" w:hAnsi="Times New Roman" w:eastAsia="宋体" w:cs="Times New Roman"/>
          <w:color w:val="auto"/>
          <w:sz w:val="24"/>
          <w:szCs w:val="24"/>
          <w:highlight w:val="none"/>
          <w:lang w:val="en-US" w:eastAsia="zh-CN"/>
        </w:rPr>
        <w:t>其他</w:t>
      </w:r>
      <w:r>
        <w:rPr>
          <w:rFonts w:hint="default" w:ascii="Times New Roman" w:hAnsi="Times New Roman" w:eastAsia="宋体" w:cs="Times New Roman"/>
          <w:color w:val="auto"/>
          <w:sz w:val="24"/>
          <w:szCs w:val="24"/>
          <w:highlight w:val="none"/>
          <w:lang w:val="en-US" w:eastAsia="zh-Hans"/>
        </w:rPr>
        <w:t>活性矿物掺合料复合掺入时，可在一定程度改善混凝土的力学强度，因而可按照施工和服役要求设计出不同强度等级的混凝土</w:t>
      </w:r>
      <w:r>
        <w:rPr>
          <w:rFonts w:hint="default" w:ascii="Times New Roman" w:hAnsi="Times New Roman" w:eastAsia="宋体" w:cs="Times New Roman"/>
          <w:color w:val="auto"/>
          <w:sz w:val="24"/>
          <w:szCs w:val="24"/>
          <w:highlight w:val="none"/>
        </w:rPr>
        <w:t>。</w:t>
      </w:r>
    </w:p>
    <w:p w14:paraId="1718505F">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179" w:name="_Toc581693577_WPSOffice_Level2"/>
      <w:bookmarkStart w:id="180" w:name="_Toc6146"/>
      <w:bookmarkStart w:id="181" w:name="_Toc3745"/>
      <w:bookmarkStart w:id="182" w:name="_Toc17287"/>
      <w:bookmarkStart w:id="183" w:name="_Toc72563590"/>
      <w:bookmarkStart w:id="184" w:name="_Toc13432"/>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4.3  长期性能与耐久性能</w:t>
      </w:r>
      <w:bookmarkEnd w:id="179"/>
      <w:bookmarkEnd w:id="180"/>
      <w:bookmarkEnd w:id="181"/>
      <w:bookmarkEnd w:id="182"/>
      <w:bookmarkEnd w:id="183"/>
      <w:bookmarkEnd w:id="184"/>
    </w:p>
    <w:p w14:paraId="6E0FEE2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4.3.1  </w:t>
      </w:r>
      <w:r>
        <w:rPr>
          <w:rFonts w:hint="default" w:ascii="Times New Roman" w:hAnsi="Times New Roman" w:eastAsia="宋体" w:cs="Times New Roman"/>
          <w:color w:val="auto"/>
          <w:sz w:val="24"/>
          <w:szCs w:val="24"/>
          <w:highlight w:val="none"/>
        </w:rPr>
        <w:t>试验表明，</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石粉中碱含量很低，因此一般情况下，</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石粉对混凝土发生碱骨料反应的潜在危害很低。当然不排除有的</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石粉及其他原材料含有较高的有效碱，因此当掺加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石粉的混凝土可能存在碱骨料反应危害时，掺加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石粉的混凝土应符合现行国家标准《预防混凝土碱骨料反应技术规范》GB/T 50733的规定。</w:t>
      </w:r>
    </w:p>
    <w:p w14:paraId="2BF3CDE4">
      <w:pPr>
        <w:keepNext w:val="0"/>
        <w:keepLines w:val="0"/>
        <w:pageBreakBefore w:val="0"/>
        <w:kinsoku/>
        <w:wordWrap/>
        <w:overflowPunct/>
        <w:topLinePunct w:val="0"/>
        <w:bidi w:val="0"/>
        <w:snapToGrid/>
        <w:spacing w:line="400"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14:paraId="12F8B3E9">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b/>
          <w:bCs/>
          <w:color w:val="auto"/>
          <w:sz w:val="32"/>
          <w:szCs w:val="32"/>
          <w:highlight w:val="none"/>
        </w:rPr>
      </w:pPr>
      <w:bookmarkStart w:id="185" w:name="_Toc15367"/>
      <w:bookmarkStart w:id="186" w:name="_Toc21178"/>
      <w:bookmarkStart w:id="187" w:name="_Toc8456"/>
      <w:bookmarkStart w:id="188" w:name="_Toc1953029281"/>
      <w:bookmarkStart w:id="189" w:name="_Toc10607"/>
      <w:r>
        <w:rPr>
          <w:rFonts w:hint="default" w:ascii="Times New Roman" w:hAnsi="Times New Roman" w:eastAsia="宋体" w:cs="Times New Roman"/>
          <w:b/>
          <w:bCs/>
          <w:color w:val="auto"/>
          <w:sz w:val="32"/>
          <w:szCs w:val="32"/>
          <w:highlight w:val="none"/>
        </w:rPr>
        <w:t>混凝土配合比设计</w:t>
      </w:r>
      <w:bookmarkEnd w:id="185"/>
      <w:bookmarkEnd w:id="186"/>
      <w:bookmarkEnd w:id="187"/>
      <w:bookmarkEnd w:id="188"/>
      <w:bookmarkEnd w:id="189"/>
    </w:p>
    <w:p w14:paraId="3F35291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5.0.1</w:t>
      </w:r>
      <w:r>
        <w:rPr>
          <w:rFonts w:hint="default" w:ascii="Times New Roman" w:hAnsi="Times New Roman" w:eastAsia="宋体" w:cs="Times New Roman"/>
          <w:color w:val="auto"/>
          <w:sz w:val="24"/>
          <w:szCs w:val="24"/>
          <w:highlight w:val="none"/>
        </w:rPr>
        <w:t xml:space="preserve">  现行行业标准《普通混凝土配合比设计规程》JGJ 55关于混凝土配合比试配、调整与确定的规定也适用于掺加花岗岩石粉的混凝土。</w:t>
      </w:r>
    </w:p>
    <w:p w14:paraId="004F99F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5.0.</w:t>
      </w:r>
      <w:r>
        <w:rPr>
          <w:rFonts w:hint="eastAsia"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研究表明，</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在混凝土中具有加速水泥早期水化效应和填充效应，但基本上属于惰性材料，原则上不属于胶凝材料，但作为混凝土的掺合料使用时，为了便于与其他掺合料一起使用，同时为了简化配合比设计，沿用已经习惯使用的水胶比等概念，在计算时，将</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石粉的用量视为胶凝材料总量的一部分。</w:t>
      </w:r>
    </w:p>
    <w:p w14:paraId="1716641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5.0.</w:t>
      </w:r>
      <w:r>
        <w:rPr>
          <w:rFonts w:hint="eastAsia" w:ascii="Times New Roman" w:hAnsi="Times New Roman" w:eastAsia="宋体" w:cs="Times New Roman"/>
          <w:b/>
          <w:color w:val="auto"/>
          <w:sz w:val="24"/>
          <w:szCs w:val="24"/>
          <w:highlight w:val="none"/>
          <w:lang w:val="en-US" w:eastAsia="zh-CN"/>
        </w:rPr>
        <w:t>3</w:t>
      </w:r>
      <w:r>
        <w:rPr>
          <w:rFonts w:hint="default" w:ascii="Times New Roman" w:hAnsi="Times New Roman" w:eastAsia="宋体" w:cs="Times New Roman"/>
          <w:b/>
          <w:color w:val="auto"/>
          <w:sz w:val="24"/>
          <w:szCs w:val="24"/>
          <w:highlight w:val="none"/>
        </w:rPr>
        <w:t>~5.0.</w:t>
      </w:r>
      <w:r>
        <w:rPr>
          <w:rFonts w:hint="eastAsia"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规定了各类混凝土中</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石粉的最大掺量，是根据水泥品种确定的。</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石粉最大掺量的确定，除了与强度、施工时的环境温度、大体积混凝土等有关外，也关系到混凝土的抗冻性、抗碳化性能等耐久性指标。</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石粉的掺量</w:t>
      </w:r>
      <w:r>
        <w:rPr>
          <w:rFonts w:hint="default" w:ascii="Times New Roman" w:hAnsi="Times New Roman" w:eastAsia="宋体" w:cs="Times New Roman"/>
          <w:color w:val="auto"/>
          <w:sz w:val="24"/>
          <w:szCs w:val="24"/>
          <w:highlight w:val="none"/>
          <w:lang w:val="en-US" w:eastAsia="zh-Hans"/>
        </w:rPr>
        <w:t>应通过试验决定</w:t>
      </w:r>
      <w:r>
        <w:rPr>
          <w:rFonts w:hint="default" w:ascii="Times New Roman" w:hAnsi="Times New Roman" w:eastAsia="宋体" w:cs="Times New Roman"/>
          <w:color w:val="auto"/>
          <w:sz w:val="24"/>
          <w:szCs w:val="24"/>
          <w:highlight w:val="none"/>
        </w:rPr>
        <w:t>。试验表明，适宜的</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石粉掺量可以改善混凝土拌合物性能，降低混凝土水化热，减小收缩，对混凝土强度及耐久性影响不大，掺量过大则会对混凝土的强度及抗冻、抗</w:t>
      </w:r>
      <w:r>
        <w:rPr>
          <w:rFonts w:hint="default" w:ascii="Times New Roman" w:hAnsi="Times New Roman" w:eastAsia="宋体" w:cs="Times New Roman"/>
          <w:color w:val="auto"/>
          <w:sz w:val="24"/>
          <w:szCs w:val="24"/>
          <w:highlight w:val="none"/>
          <w:lang w:val="en-US" w:eastAsia="zh-Hans"/>
        </w:rPr>
        <w:t>碳化性能</w:t>
      </w:r>
      <w:r>
        <w:rPr>
          <w:rFonts w:hint="default" w:ascii="Times New Roman" w:hAnsi="Times New Roman" w:eastAsia="宋体" w:cs="Times New Roman"/>
          <w:color w:val="auto"/>
          <w:sz w:val="24"/>
          <w:szCs w:val="24"/>
          <w:highlight w:val="none"/>
        </w:rPr>
        <w:t>等耐久性能产生较大影响。</w:t>
      </w:r>
    </w:p>
    <w:p w14:paraId="2CF7E7B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Times New Roman" w:hAnsi="Times New Roman" w:eastAsia="宋体" w:cs="Times New Roman"/>
          <w:b w:val="0"/>
          <w:bCs/>
          <w:color w:val="auto"/>
          <w:sz w:val="24"/>
          <w:szCs w:val="24"/>
          <w:highlight w:val="none"/>
          <w:lang w:val="en-US" w:eastAsia="zh-CN"/>
        </w:rPr>
      </w:pPr>
      <w:r>
        <w:rPr>
          <w:rFonts w:hint="default" w:ascii="Times New Roman" w:hAnsi="Times New Roman" w:eastAsia="宋体" w:cs="Times New Roman"/>
          <w:b/>
          <w:bCs w:val="0"/>
          <w:color w:val="auto"/>
          <w:sz w:val="24"/>
          <w:szCs w:val="24"/>
          <w:highlight w:val="none"/>
        </w:rPr>
        <w:t>5.0.</w:t>
      </w:r>
      <w:r>
        <w:rPr>
          <w:rFonts w:hint="eastAsia" w:ascii="Times New Roman" w:hAnsi="Times New Roman" w:eastAsia="宋体" w:cs="Times New Roman"/>
          <w:b/>
          <w:bCs w:val="0"/>
          <w:color w:val="auto"/>
          <w:sz w:val="24"/>
          <w:szCs w:val="24"/>
          <w:highlight w:val="none"/>
          <w:lang w:val="en-US" w:eastAsia="zh-CN"/>
        </w:rPr>
        <w:t>5</w:t>
      </w:r>
      <w:r>
        <w:rPr>
          <w:rFonts w:hint="default" w:ascii="Times New Roman" w:hAnsi="Times New Roman" w:eastAsia="宋体" w:cs="Times New Roman"/>
          <w:b w:val="0"/>
          <w:bCs/>
          <w:color w:val="auto"/>
          <w:sz w:val="24"/>
          <w:szCs w:val="24"/>
          <w:highlight w:val="none"/>
        </w:rPr>
        <w:t xml:space="preserve">  花岗岩石粉宜与其他矿物掺合料复合使用，通过不同掺合料之间的性能互补，进一步优化混凝土的工作性、强度和耐久性。同时，明确规定复合掺合料中花岗岩石粉的掺量不得超过其单独掺入混凝土时的最大掺量，以防止因掺量过高导致混凝土性能下降或其他不良后果，从而保障混凝土的质量和施工安全</w:t>
      </w:r>
      <w:r>
        <w:rPr>
          <w:rFonts w:hint="eastAsia" w:ascii="Times New Roman" w:hAnsi="Times New Roman" w:eastAsia="宋体" w:cs="Times New Roman"/>
          <w:b w:val="0"/>
          <w:bCs/>
          <w:color w:val="auto"/>
          <w:sz w:val="24"/>
          <w:szCs w:val="24"/>
          <w:highlight w:val="none"/>
          <w:lang w:eastAsia="zh-CN"/>
        </w:rPr>
        <w:t>。</w:t>
      </w:r>
    </w:p>
    <w:p w14:paraId="565CE1C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5.0.</w:t>
      </w:r>
      <w:r>
        <w:rPr>
          <w:rFonts w:hint="eastAsia" w:ascii="Times New Roman" w:hAnsi="Times New Roman" w:eastAsia="宋体" w:cs="Times New Roman"/>
          <w:b/>
          <w:color w:val="auto"/>
          <w:sz w:val="24"/>
          <w:szCs w:val="24"/>
          <w:highlight w:val="none"/>
          <w:lang w:val="en-US" w:eastAsia="zh-CN"/>
        </w:rPr>
        <w:t>6</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在混凝土配合比水胶比计算中，胶凝材料28d胶砂抗压强度值应根据试验确定，在试验无实测值时，</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 xml:space="preserve">石粉影响系数可按本条规定取值。粉煤灰影响系数和粒化高炉矿渣粉影响系数与现行行业标准《普通混凝土配合比设计规程》JGJ55的规定一致。 </w:t>
      </w:r>
    </w:p>
    <w:p w14:paraId="2169A6BE">
      <w:pPr>
        <w:keepNext w:val="0"/>
        <w:keepLines w:val="0"/>
        <w:pageBreakBefore w:val="0"/>
        <w:kinsoku/>
        <w:wordWrap/>
        <w:overflowPunct/>
        <w:topLinePunct w:val="0"/>
        <w:bidi w:val="0"/>
        <w:snapToGrid/>
        <w:spacing w:line="400" w:lineRule="exact"/>
        <w:ind w:left="0" w:leftChars="0" w:firstLine="0" w:firstLineChars="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5.0.</w:t>
      </w:r>
      <w:r>
        <w:rPr>
          <w:rFonts w:hint="eastAsia" w:ascii="Times New Roman" w:hAnsi="Times New Roman" w:eastAsia="宋体" w:cs="Times New Roman"/>
          <w:b/>
          <w:color w:val="auto"/>
          <w:sz w:val="24"/>
          <w:szCs w:val="24"/>
          <w:highlight w:val="none"/>
          <w:lang w:val="en-US" w:eastAsia="zh-CN"/>
        </w:rPr>
        <w:t>7</w:t>
      </w:r>
      <w:r>
        <w:rPr>
          <w:rFonts w:hint="default" w:ascii="Times New Roman" w:hAnsi="Times New Roman" w:eastAsia="宋体" w:cs="Times New Roman"/>
          <w:b/>
          <w:color w:val="auto"/>
          <w:sz w:val="24"/>
          <w:szCs w:val="24"/>
          <w:highlight w:val="none"/>
        </w:rPr>
        <w:t>~5.0.</w:t>
      </w:r>
      <w:r>
        <w:rPr>
          <w:rFonts w:hint="eastAsia" w:ascii="Times New Roman" w:hAnsi="Times New Roman" w:eastAsia="宋体" w:cs="Times New Roman"/>
          <w:b/>
          <w:color w:val="auto"/>
          <w:sz w:val="24"/>
          <w:szCs w:val="24"/>
          <w:highlight w:val="none"/>
          <w:lang w:val="en-US" w:eastAsia="zh-CN"/>
        </w:rPr>
        <w:t>9</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采用设计配合比进行试生产并对配合比进行相应调整是确定施工配合比的重要环节。</w:t>
      </w:r>
    </w:p>
    <w:p w14:paraId="4562E560">
      <w:pPr>
        <w:keepNext w:val="0"/>
        <w:keepLines w:val="0"/>
        <w:pageBreakBefore w:val="0"/>
        <w:kinsoku/>
        <w:wordWrap/>
        <w:overflowPunct/>
        <w:topLinePunct w:val="0"/>
        <w:bidi w:val="0"/>
        <w:snapToGrid/>
        <w:spacing w:line="400"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14:paraId="7465A533">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b/>
          <w:bCs/>
          <w:color w:val="auto"/>
          <w:sz w:val="32"/>
          <w:szCs w:val="32"/>
          <w:highlight w:val="none"/>
        </w:rPr>
      </w:pPr>
      <w:bookmarkStart w:id="190" w:name="_Toc275581372"/>
      <w:bookmarkStart w:id="191" w:name="_Toc22386"/>
      <w:bookmarkStart w:id="192" w:name="_Toc30801"/>
      <w:bookmarkStart w:id="193" w:name="_Toc23810"/>
      <w:bookmarkStart w:id="194" w:name="_Toc28953"/>
      <w:bookmarkStart w:id="195" w:name="_Toc29094"/>
      <w:r>
        <w:rPr>
          <w:rFonts w:hint="default" w:ascii="Times New Roman" w:hAnsi="Times New Roman" w:eastAsia="宋体" w:cs="Times New Roman"/>
          <w:b/>
          <w:bCs/>
          <w:color w:val="auto"/>
          <w:sz w:val="32"/>
          <w:szCs w:val="32"/>
          <w:highlight w:val="none"/>
        </w:rPr>
        <w:t>施</w:t>
      </w:r>
      <w:r>
        <w:rPr>
          <w:rFonts w:hint="eastAsia" w:ascii="Times New Roman" w:hAnsi="Times New Roman" w:eastAsia="宋体" w:cs="Times New Roman"/>
          <w:b/>
          <w:bCs/>
          <w:color w:val="auto"/>
          <w:sz w:val="32"/>
          <w:szCs w:val="32"/>
          <w:highlight w:val="none"/>
          <w:lang w:val="en-US" w:eastAsia="zh-CN"/>
        </w:rPr>
        <w:t xml:space="preserve">  </w:t>
      </w:r>
      <w:r>
        <w:rPr>
          <w:rFonts w:hint="default" w:ascii="Times New Roman" w:hAnsi="Times New Roman" w:eastAsia="宋体" w:cs="Times New Roman"/>
          <w:b/>
          <w:bCs/>
          <w:color w:val="auto"/>
          <w:sz w:val="32"/>
          <w:szCs w:val="32"/>
          <w:highlight w:val="none"/>
        </w:rPr>
        <w:t>工</w:t>
      </w:r>
      <w:bookmarkEnd w:id="190"/>
      <w:bookmarkEnd w:id="191"/>
      <w:bookmarkEnd w:id="192"/>
      <w:bookmarkEnd w:id="193"/>
      <w:bookmarkEnd w:id="194"/>
      <w:bookmarkEnd w:id="195"/>
    </w:p>
    <w:p w14:paraId="092EDE28">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196" w:name="_Toc1721376272"/>
      <w:bookmarkStart w:id="197" w:name="_Toc15743"/>
      <w:bookmarkStart w:id="198" w:name="_Toc30596"/>
      <w:bookmarkStart w:id="199" w:name="_Toc1178387495_WPSOffice_Level2"/>
      <w:bookmarkStart w:id="200" w:name="_Toc7456"/>
      <w:bookmarkStart w:id="201" w:name="_Toc16411"/>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6.1  一般规定</w:t>
      </w:r>
      <w:bookmarkEnd w:id="196"/>
      <w:bookmarkEnd w:id="197"/>
      <w:bookmarkEnd w:id="198"/>
      <w:bookmarkEnd w:id="199"/>
      <w:bookmarkEnd w:id="200"/>
      <w:bookmarkEnd w:id="201"/>
    </w:p>
    <w:p w14:paraId="4EBA9E7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6.1.1</w:t>
      </w:r>
      <w:r>
        <w:rPr>
          <w:rFonts w:hint="default" w:ascii="Times New Roman" w:hAnsi="Times New Roman" w:eastAsia="宋体" w:cs="Times New Roman"/>
          <w:color w:val="auto"/>
          <w:sz w:val="24"/>
          <w:szCs w:val="24"/>
          <w:highlight w:val="none"/>
        </w:rPr>
        <w:t xml:space="preserve">  本条规定了采用预拌混凝土生产的掺加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石粉混凝土的标准依据。</w:t>
      </w:r>
    </w:p>
    <w:p w14:paraId="159FA66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6.1.</w:t>
      </w: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本条规定了掺加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石粉的混凝土施工的标准依据。</w:t>
      </w:r>
    </w:p>
    <w:p w14:paraId="2FD33BF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b/>
          <w:bCs/>
          <w:color w:val="auto"/>
          <w:sz w:val="24"/>
          <w:szCs w:val="24"/>
          <w:highlight w:val="none"/>
          <w:lang w:val="en-US" w:eastAsia="zh-CN"/>
        </w:rPr>
        <w:t>6.1.3</w:t>
      </w:r>
      <w:r>
        <w:rPr>
          <w:rFonts w:hint="eastAsia"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本条规定了掺加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w:t>
      </w:r>
      <w:r>
        <w:rPr>
          <w:rFonts w:hint="eastAsia" w:ascii="Times New Roman" w:hAnsi="Times New Roman" w:eastAsia="宋体" w:cs="Times New Roman"/>
          <w:color w:val="auto"/>
          <w:sz w:val="24"/>
          <w:szCs w:val="24"/>
          <w:highlight w:val="none"/>
          <w:lang w:val="en-US" w:eastAsia="zh-CN"/>
        </w:rPr>
        <w:t>高强</w:t>
      </w:r>
      <w:r>
        <w:rPr>
          <w:rFonts w:hint="default" w:ascii="Times New Roman" w:hAnsi="Times New Roman" w:eastAsia="宋体" w:cs="Times New Roman"/>
          <w:color w:val="auto"/>
          <w:sz w:val="24"/>
          <w:szCs w:val="24"/>
          <w:highlight w:val="none"/>
        </w:rPr>
        <w:t>混凝土</w:t>
      </w:r>
      <w:r>
        <w:rPr>
          <w:rFonts w:hint="eastAsia" w:ascii="Times New Roman" w:hAnsi="Times New Roman" w:eastAsia="宋体" w:cs="Times New Roman"/>
          <w:color w:val="auto"/>
          <w:sz w:val="24"/>
          <w:szCs w:val="24"/>
          <w:highlight w:val="none"/>
          <w:lang w:val="en-US" w:eastAsia="zh-CN"/>
        </w:rPr>
        <w:t>和大体积混凝土</w:t>
      </w:r>
      <w:r>
        <w:rPr>
          <w:rFonts w:hint="default" w:ascii="Times New Roman" w:hAnsi="Times New Roman" w:eastAsia="宋体" w:cs="Times New Roman"/>
          <w:color w:val="auto"/>
          <w:sz w:val="24"/>
          <w:szCs w:val="24"/>
          <w:highlight w:val="none"/>
        </w:rPr>
        <w:t>施工的标准依据</w:t>
      </w:r>
      <w:r>
        <w:rPr>
          <w:rFonts w:hint="eastAsia" w:ascii="Times New Roman" w:hAnsi="Times New Roman" w:eastAsia="宋体" w:cs="Times New Roman"/>
          <w:color w:val="auto"/>
          <w:sz w:val="24"/>
          <w:szCs w:val="24"/>
          <w:highlight w:val="none"/>
          <w:lang w:eastAsia="zh-CN"/>
        </w:rPr>
        <w:t>。</w:t>
      </w:r>
    </w:p>
    <w:p w14:paraId="52AE80C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6.1.4 </w:t>
      </w:r>
      <w:r>
        <w:rPr>
          <w:rFonts w:hint="eastAsia" w:ascii="Times New Roman" w:hAnsi="Times New Roman" w:eastAsia="宋体" w:cs="Times New Roman"/>
          <w:color w:val="auto"/>
          <w:sz w:val="24"/>
          <w:szCs w:val="24"/>
          <w:highlight w:val="none"/>
          <w:lang w:val="en-US" w:eastAsia="zh-CN"/>
        </w:rPr>
        <w:t xml:space="preserve"> 本条规定了花岗岩石粉在使用前需进行与外加剂的相容性试验，以确保掺入混凝土后能够发挥更好的效果。试验应基于实际工程中使用的混凝土配合比及胶凝材料组成进行，目的是验证花岗岩石粉与外加剂在混凝土拌合物中的化学和物理相容性，避免因不相容导致混凝土性能异常。</w:t>
      </w:r>
    </w:p>
    <w:p w14:paraId="67C0BCBA">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02" w:name="_Toc271311120"/>
      <w:bookmarkStart w:id="203" w:name="_Toc14605"/>
      <w:bookmarkStart w:id="204" w:name="_Toc21782"/>
      <w:bookmarkStart w:id="205" w:name="_Toc11625"/>
      <w:bookmarkStart w:id="206" w:name="_Toc1064435831_WPSOffice_Level2"/>
      <w:bookmarkStart w:id="207" w:name="_Toc18972"/>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6.2  原材料贮存与计量</w:t>
      </w:r>
      <w:bookmarkEnd w:id="202"/>
      <w:bookmarkEnd w:id="203"/>
      <w:bookmarkEnd w:id="204"/>
      <w:bookmarkEnd w:id="205"/>
      <w:bookmarkEnd w:id="206"/>
      <w:bookmarkEnd w:id="207"/>
    </w:p>
    <w:p w14:paraId="11DC69E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6.2.1  </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石粉需要单独贮存。搅拌站可以使用筒仓，有利于投料和防潮。</w:t>
      </w:r>
    </w:p>
    <w:p w14:paraId="29E99D3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6.2.2</w:t>
      </w:r>
      <w:r>
        <w:rPr>
          <w:rFonts w:hint="default" w:ascii="Times New Roman" w:hAnsi="Times New Roman" w:eastAsia="宋体" w:cs="Times New Roman"/>
          <w:color w:val="auto"/>
          <w:sz w:val="24"/>
          <w:szCs w:val="24"/>
          <w:highlight w:val="none"/>
        </w:rPr>
        <w:t xml:space="preserve">  本条规定了其他混凝土原材料贮存的标准依据。</w:t>
      </w:r>
    </w:p>
    <w:p w14:paraId="00731FA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6.2.3  </w:t>
      </w:r>
      <w:r>
        <w:rPr>
          <w:rFonts w:hint="default" w:ascii="Times New Roman" w:hAnsi="Times New Roman" w:eastAsia="宋体" w:cs="Times New Roman"/>
          <w:color w:val="auto"/>
          <w:sz w:val="24"/>
          <w:szCs w:val="24"/>
          <w:highlight w:val="none"/>
        </w:rPr>
        <w:t>采用电子计量设备有利于保证计量精度，保证掺加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石粉的混凝土生产质量。</w:t>
      </w:r>
      <w:r>
        <w:rPr>
          <w:rFonts w:hint="default" w:ascii="Times New Roman" w:hAnsi="Times New Roman" w:eastAsia="宋体" w:cs="Times New Roman"/>
          <w:b/>
          <w:color w:val="auto"/>
          <w:sz w:val="24"/>
          <w:szCs w:val="24"/>
          <w:highlight w:val="none"/>
        </w:rPr>
        <w:t xml:space="preserve">6.2.4 </w:t>
      </w:r>
      <w:r>
        <w:rPr>
          <w:rFonts w:hint="default"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lang w:val="en-US" w:eastAsia="zh-CN"/>
        </w:rPr>
        <w:t>本条规定了混凝土</w:t>
      </w:r>
      <w:r>
        <w:rPr>
          <w:rFonts w:hint="default" w:ascii="Times New Roman" w:hAnsi="Times New Roman" w:cs="Times New Roman" w:eastAsiaTheme="minorEastAsia"/>
          <w:sz w:val="24"/>
          <w:szCs w:val="24"/>
          <w:highlight w:val="none"/>
        </w:rPr>
        <w:t>原材料的计量允许偏差</w:t>
      </w:r>
      <w:r>
        <w:rPr>
          <w:rFonts w:hint="eastAsia" w:ascii="Times New Roman" w:hAnsi="Times New Roman" w:cs="Times New Roman"/>
          <w:sz w:val="24"/>
          <w:szCs w:val="24"/>
          <w:highlight w:val="none"/>
          <w:lang w:eastAsia="zh-CN"/>
        </w:rPr>
        <w:t>。</w:t>
      </w:r>
      <w:r>
        <w:rPr>
          <w:rFonts w:ascii="宋体" w:hAnsi="宋体" w:eastAsia="宋体" w:cs="宋体"/>
          <w:sz w:val="24"/>
          <w:szCs w:val="24"/>
          <w:highlight w:val="none"/>
        </w:rPr>
        <w:t>原材料的计量偏差不得超过表6.2.4中规定的范围，过大的偏差可能会导致混凝土性能异常或工程质量问题。此外，要求每班次至少进行一次计量检查，以及时发现并纠正计量设备或操作中可能存在的误差，确保混凝土生产过程的规范性和一致性</w:t>
      </w:r>
      <w:r>
        <w:rPr>
          <w:rFonts w:hint="default" w:ascii="Times New Roman" w:hAnsi="Times New Roman" w:eastAsia="宋体" w:cs="Times New Roman"/>
          <w:color w:val="auto"/>
          <w:sz w:val="24"/>
          <w:szCs w:val="24"/>
          <w:highlight w:val="none"/>
        </w:rPr>
        <w:t>。</w:t>
      </w:r>
    </w:p>
    <w:p w14:paraId="4129CDE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6.2.5  </w:t>
      </w:r>
      <w:r>
        <w:rPr>
          <w:rFonts w:hint="default" w:ascii="Times New Roman" w:hAnsi="Times New Roman" w:eastAsia="宋体" w:cs="Times New Roman"/>
          <w:color w:val="auto"/>
          <w:sz w:val="24"/>
          <w:szCs w:val="24"/>
          <w:highlight w:val="none"/>
        </w:rPr>
        <w:t>如果堆场上的粗、细骨料的含水率发生变化，而称量不变，对水胶比和用水量会有影响，从而影响掺加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石粉混凝土的性能。</w:t>
      </w:r>
    </w:p>
    <w:p w14:paraId="1526F7EE">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08" w:name="_Toc16940"/>
      <w:bookmarkStart w:id="209" w:name="_Toc1434232107_WPSOffice_Level2"/>
      <w:bookmarkStart w:id="210" w:name="_Toc818211259"/>
      <w:bookmarkStart w:id="211" w:name="_Toc1776"/>
      <w:bookmarkStart w:id="212" w:name="_Toc12142"/>
      <w:bookmarkStart w:id="213" w:name="_Toc19437"/>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6.3  搅拌与运输</w:t>
      </w:r>
      <w:bookmarkEnd w:id="208"/>
      <w:bookmarkEnd w:id="209"/>
      <w:bookmarkEnd w:id="210"/>
      <w:bookmarkEnd w:id="211"/>
      <w:bookmarkEnd w:id="212"/>
      <w:bookmarkEnd w:id="213"/>
    </w:p>
    <w:p w14:paraId="67B1A3C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b/>
          <w:color w:val="auto"/>
          <w:sz w:val="24"/>
          <w:szCs w:val="24"/>
          <w:highlight w:val="none"/>
        </w:rPr>
        <w:t>6.3.1</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石粉宜与其他胶凝材料一起投料，采用强制式搅拌机有利于</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石粉在混凝土中均匀分散。</w:t>
      </w:r>
    </w:p>
    <w:p w14:paraId="4C8C0A7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6.3.2  </w:t>
      </w:r>
      <w:r>
        <w:rPr>
          <w:rFonts w:hint="default" w:ascii="Times New Roman" w:hAnsi="Times New Roman" w:eastAsia="宋体" w:cs="Times New Roman"/>
          <w:color w:val="auto"/>
          <w:sz w:val="24"/>
          <w:szCs w:val="24"/>
          <w:highlight w:val="none"/>
        </w:rPr>
        <w:t>现行国家标准GB 50164关于同一盘混凝土的搅拌匀质性的规定有两点： ①混凝土中砂浆密度两次测值的相对误差不应大于0.8%；②混凝土稠度两次测值的差值不应大于混凝土拌合物稠度允许偏差的绝对值。</w:t>
      </w:r>
    </w:p>
    <w:p w14:paraId="44640AF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6.3.3</w:t>
      </w:r>
      <w:r>
        <w:rPr>
          <w:rFonts w:hint="eastAsia" w:ascii="Times New Roman" w:hAnsi="Times New Roman" w:eastAsia="宋体" w:cs="Times New Roman"/>
          <w:color w:val="auto"/>
          <w:sz w:val="24"/>
          <w:szCs w:val="24"/>
          <w:highlight w:val="none"/>
          <w:lang w:val="en-US" w:eastAsia="zh-CN"/>
        </w:rPr>
        <w:t xml:space="preserve">  本条强调了混凝土搅拌时间的重要性，目的是确保混凝土拌合物充分均匀，避免因搅拌不均而影响混凝土的性能和外观质量。在搅拌高强混凝土或冬期施工时，由于混凝土的粘稠度较高或温度较低，可能导致搅拌不充分，因此需要适当延长搅拌时间，以确保混凝土质量符合要求，并达到最佳的施工效果。</w:t>
      </w:r>
    </w:p>
    <w:p w14:paraId="04CC927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6.3.4 </w:t>
      </w:r>
      <w:r>
        <w:rPr>
          <w:rFonts w:hint="eastAsia" w:ascii="Times New Roman" w:hAnsi="Times New Roman" w:eastAsia="宋体" w:cs="Times New Roman"/>
          <w:color w:val="auto"/>
          <w:sz w:val="24"/>
          <w:szCs w:val="24"/>
          <w:highlight w:val="none"/>
          <w:lang w:val="en-US" w:eastAsia="zh-CN"/>
        </w:rPr>
        <w:t xml:space="preserve"> 本条针对炎热季节施工，提出应采取有效措施控制混凝土温度的要求。</w:t>
      </w:r>
    </w:p>
    <w:p w14:paraId="0723ABF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6.3.5 </w:t>
      </w:r>
      <w:r>
        <w:rPr>
          <w:rFonts w:hint="eastAsia" w:ascii="Times New Roman" w:hAnsi="Times New Roman" w:eastAsia="宋体" w:cs="Times New Roman"/>
          <w:color w:val="auto"/>
          <w:sz w:val="24"/>
          <w:szCs w:val="24"/>
          <w:highlight w:val="none"/>
          <w:lang w:val="en-US" w:eastAsia="zh-CN"/>
        </w:rPr>
        <w:t xml:space="preserve"> 本条对混凝土搅拌运输车提出要求，确保混凝土在运输过程中能够保持均匀性，避免出现分层或离析现象，这对控制混凝土质量至关重要。此外，针对寒冷、严寒或炎热等极端天气条件，条文特别强调，搅拌运输车的搅拌罐应具备保温或隔热措施，以防止温度过低或过高对混凝土拌合物的影响，确保混凝土在运输过程中能够维持所需的工作性和强度，满足施工要求。</w:t>
      </w:r>
    </w:p>
    <w:p w14:paraId="3EA19C62">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14" w:name="_Toc10034"/>
      <w:bookmarkStart w:id="215" w:name="_Toc11711"/>
      <w:bookmarkStart w:id="216" w:name="_Toc31385"/>
      <w:bookmarkStart w:id="217" w:name="_Toc1782568421_WPSOffice_Level2"/>
      <w:bookmarkStart w:id="218" w:name="_Toc23579"/>
      <w:bookmarkStart w:id="219" w:name="_Toc1338838272"/>
      <w:r>
        <w:rPr>
          <w:rFonts w:hint="eastAsia"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6.4　浇筑</w:t>
      </w:r>
      <w:bookmarkEnd w:id="214"/>
    </w:p>
    <w:p w14:paraId="2D5BCBEB">
      <w:pPr>
        <w:keepNext w:val="0"/>
        <w:keepLines w:val="0"/>
        <w:pageBreakBefore w:val="0"/>
        <w:widowControl/>
        <w:numPr>
          <w:ilvl w:val="0"/>
          <w:numId w:val="2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混凝土运送到施工现场时，实测坍落度与要求坍落度之间的允许偏差应符合</w:t>
      </w:r>
      <w:r>
        <w:rPr>
          <w:rFonts w:hint="eastAsia" w:ascii="Times New Roman" w:hAnsi="Times New Roman" w:cs="Times New Roman"/>
          <w:sz w:val="24"/>
          <w:szCs w:val="24"/>
          <w:highlight w:val="none"/>
          <w:lang w:val="en-US" w:eastAsia="zh-CN"/>
        </w:rPr>
        <w:t>现行国家标准</w:t>
      </w:r>
      <w:r>
        <w:rPr>
          <w:rFonts w:hint="default" w:ascii="Times New Roman" w:hAnsi="Times New Roman" w:cs="Times New Roman" w:eastAsiaTheme="minorEastAsia"/>
          <w:b w:val="0"/>
          <w:bCs w:val="0"/>
          <w:sz w:val="24"/>
          <w:szCs w:val="24"/>
          <w:highlight w:val="none"/>
        </w:rPr>
        <w:t>《预拌混凝土》GB/T 14902</w:t>
      </w:r>
      <w:r>
        <w:rPr>
          <w:rFonts w:hint="default" w:ascii="Times New Roman" w:hAnsi="Times New Roman" w:cs="Times New Roman" w:eastAsiaTheme="minorEastAsia"/>
          <w:sz w:val="24"/>
          <w:szCs w:val="24"/>
          <w:highlight w:val="none"/>
        </w:rPr>
        <w:t>的规定。</w:t>
      </w:r>
    </w:p>
    <w:p w14:paraId="2D613359">
      <w:pPr>
        <w:keepNext w:val="0"/>
        <w:keepLines w:val="0"/>
        <w:pageBreakBefore w:val="0"/>
        <w:widowControl/>
        <w:numPr>
          <w:ilvl w:val="0"/>
          <w:numId w:val="2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混凝土拌合物人模温度过高，对混凝土硬化过程有影响，加大了控制难度，因此，避免高温条件浇筑混凝土是比较合理的选择。</w:t>
      </w:r>
    </w:p>
    <w:p w14:paraId="6C00712D">
      <w:pPr>
        <w:keepNext w:val="0"/>
        <w:keepLines w:val="0"/>
        <w:pageBreakBefore w:val="0"/>
        <w:widowControl/>
        <w:numPr>
          <w:ilvl w:val="0"/>
          <w:numId w:val="2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混凝土拌合物入模温度过低，对水泥水化和混凝土强度发展不利，混凝土在冬期容易被冻伤。</w:t>
      </w:r>
    </w:p>
    <w:p w14:paraId="4C0A1E62">
      <w:pPr>
        <w:keepNext w:val="0"/>
        <w:keepLines w:val="0"/>
        <w:pageBreakBefore w:val="0"/>
        <w:widowControl/>
        <w:numPr>
          <w:ilvl w:val="0"/>
          <w:numId w:val="2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ascii="宋体" w:hAnsi="宋体" w:eastAsia="宋体" w:cs="宋体"/>
          <w:sz w:val="24"/>
          <w:szCs w:val="24"/>
          <w:highlight w:val="none"/>
        </w:rPr>
        <w:t>漏振会导致混凝土密实度不足，出现蜂窝、空洞等缺陷；过振会使骨料下沉，水泥浆上浮，形成明显的浮浆层，影响混凝土的强度、耐久性和外观质量。因此，振捣应均匀适度，确保混凝土密实、均匀且表面平整无浮浆。</w:t>
      </w:r>
    </w:p>
    <w:p w14:paraId="2DE9DD24">
      <w:pPr>
        <w:keepNext w:val="0"/>
        <w:keepLines w:val="0"/>
        <w:pageBreakBefore w:val="0"/>
        <w:widowControl/>
        <w:numPr>
          <w:ilvl w:val="0"/>
          <w:numId w:val="25"/>
        </w:numPr>
        <w:tabs>
          <w:tab w:val="clear" w:pos="0"/>
        </w:tabs>
        <w:kinsoku/>
        <w:wordWrap/>
        <w:overflowPunct/>
        <w:topLinePunct w:val="0"/>
        <w:autoSpaceDE w:val="0"/>
        <w:autoSpaceDN w:val="0"/>
        <w:bidi w:val="0"/>
        <w:adjustRightInd/>
        <w:snapToGrid/>
        <w:spacing w:line="400" w:lineRule="exact"/>
        <w:ind w:left="0" w:leftChars="0" w:firstLine="0" w:firstLineChars="0"/>
        <w:jc w:val="both"/>
        <w:textAlignment w:val="auto"/>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为避免混凝土浇筑后裸露表面产生塑性收缩裂缝，在初凝、终凝前进行抹面处理是非常关键的。每次抹面可采用铁板压光磨平两遍或用木蟹抹平搓毛两遍的工艺方法。对于梁板结构以及易产生裂缝的结构部位应适当增加抹面次数。</w:t>
      </w:r>
    </w:p>
    <w:p w14:paraId="7800CA2E">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p>
    <w:p w14:paraId="3058408F">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20" w:name="_Toc29351"/>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6.5  养护</w:t>
      </w:r>
      <w:bookmarkEnd w:id="215"/>
      <w:bookmarkEnd w:id="216"/>
      <w:bookmarkEnd w:id="217"/>
      <w:bookmarkEnd w:id="218"/>
      <w:bookmarkEnd w:id="219"/>
      <w:bookmarkEnd w:id="220"/>
    </w:p>
    <w:p w14:paraId="55CB6FD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6.5.2  </w:t>
      </w:r>
      <w:r>
        <w:rPr>
          <w:rFonts w:hint="default" w:ascii="Times New Roman" w:hAnsi="Times New Roman" w:eastAsia="宋体" w:cs="Times New Roman"/>
          <w:color w:val="auto"/>
          <w:sz w:val="24"/>
          <w:szCs w:val="24"/>
          <w:highlight w:val="none"/>
        </w:rPr>
        <w:t>混凝土早期塑性收缩和干燥收缩较大，易于造成混凝土开裂。混凝土养护是补充水分或降低失水速率，防止混凝土产生裂缝，确保达到混凝土各项力学性能指标的重要措施。在混凝土初凝、终凝抹面处理后，应及时进行养护工作。混凝土终凝后至养护开始的时间间隔应尽可能缩短，以保证混凝土养护所需的湿度以及对混凝土进行温度控制。覆盖养护可采用塑料薄膜、麻袋、草帘等进行覆盖</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喷涂养护剂养护是通过养护液在混凝土表面形成致密的薄膜层，以达到混凝土保湿目的。洒水、覆盖、喷涂养护剂等养护方式可单独使用，也可同时使用，采用何种养护方式应根据工程实际情况合理选择。</w:t>
      </w:r>
    </w:p>
    <w:p w14:paraId="15234E2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 xml:space="preserve">6.5.3  </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石粉活性相对较低，</w:t>
      </w:r>
      <w:r>
        <w:rPr>
          <w:rFonts w:hint="eastAsia" w:ascii="Times New Roman" w:hAnsi="Times New Roman" w:eastAsia="宋体" w:cs="Times New Roman"/>
          <w:color w:val="auto"/>
          <w:sz w:val="24"/>
          <w:szCs w:val="24"/>
          <w:highlight w:val="none"/>
          <w:lang w:val="en-US" w:eastAsia="zh-CN"/>
        </w:rPr>
        <w:t>作为掺合料会降低混凝土</w:t>
      </w:r>
      <w:r>
        <w:rPr>
          <w:rFonts w:hint="default" w:ascii="Times New Roman" w:hAnsi="Times New Roman" w:eastAsia="宋体" w:cs="Times New Roman"/>
          <w:color w:val="auto"/>
          <w:sz w:val="24"/>
          <w:szCs w:val="24"/>
          <w:highlight w:val="none"/>
        </w:rPr>
        <w:t>早期强度增长速度，</w:t>
      </w:r>
      <w:r>
        <w:rPr>
          <w:rFonts w:hint="eastAsia" w:ascii="Times New Roman" w:hAnsi="Times New Roman" w:eastAsia="宋体" w:cs="Times New Roman"/>
          <w:color w:val="auto"/>
          <w:sz w:val="24"/>
          <w:szCs w:val="24"/>
          <w:highlight w:val="none"/>
          <w:lang w:val="en-US" w:eastAsia="zh-CN"/>
        </w:rPr>
        <w:t>因此需要适当延长养护时间。通过延长养护时间可以为</w:t>
      </w:r>
      <w:r>
        <w:rPr>
          <w:rFonts w:hint="default" w:ascii="Times New Roman" w:hAnsi="Times New Roman" w:eastAsia="宋体" w:cs="Times New Roman"/>
          <w:color w:val="auto"/>
          <w:sz w:val="24"/>
          <w:szCs w:val="24"/>
          <w:highlight w:val="none"/>
        </w:rPr>
        <w:t>混凝土内部的水化反应和矿物掺合料的后期反应（如火山灰反应）提供充足的湿润条件，从而促进混凝土强度和耐久性能的全面发展。</w:t>
      </w:r>
    </w:p>
    <w:p w14:paraId="16B0537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养护时间不少于14天有助于减少混凝土表面干缩开裂的风险，提高混凝土质量和长期使用性能</w:t>
      </w:r>
      <w:r>
        <w:rPr>
          <w:rFonts w:hint="eastAsia" w:ascii="Times New Roman" w:hAnsi="Times New Roman" w:eastAsia="宋体" w:cs="Times New Roman"/>
          <w:color w:val="auto"/>
          <w:sz w:val="24"/>
          <w:szCs w:val="24"/>
          <w:highlight w:val="none"/>
          <w:lang w:eastAsia="zh-CN"/>
        </w:rPr>
        <w:t>。</w:t>
      </w:r>
    </w:p>
    <w:p w14:paraId="4743CD74">
      <w:pPr>
        <w:keepNext w:val="0"/>
        <w:keepLines w:val="0"/>
        <w:pageBreakBefore w:val="0"/>
        <w:kinsoku/>
        <w:wordWrap/>
        <w:overflowPunct/>
        <w:topLinePunct w:val="0"/>
        <w:bidi w:val="0"/>
        <w:snapToGrid/>
        <w:spacing w:line="400"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br w:type="page"/>
      </w:r>
    </w:p>
    <w:p w14:paraId="532F8567">
      <w:pPr>
        <w:pStyle w:val="69"/>
        <w:keepNext w:val="0"/>
        <w:keepLines w:val="0"/>
        <w:pageBreakBefore w:val="0"/>
        <w:widowControl w:val="0"/>
        <w:kinsoku/>
        <w:wordWrap/>
        <w:overflowPunct/>
        <w:topLinePunct w:val="0"/>
        <w:autoSpaceDE/>
        <w:autoSpaceDN/>
        <w:bidi w:val="0"/>
        <w:adjustRightInd/>
        <w:snapToGrid/>
        <w:spacing w:before="0" w:beforeLines="0" w:after="157" w:afterLines="50" w:line="400" w:lineRule="exact"/>
        <w:ind w:left="0" w:leftChars="0" w:right="0" w:rightChars="0" w:firstLine="0" w:firstLineChars="0"/>
        <w:jc w:val="center"/>
        <w:textAlignment w:val="auto"/>
        <w:outlineLvl w:val="0"/>
        <w:rPr>
          <w:rFonts w:hint="default" w:ascii="Times New Roman" w:hAnsi="Times New Roman" w:eastAsia="宋体" w:cs="Times New Roman"/>
          <w:b/>
          <w:bCs/>
          <w:color w:val="auto"/>
          <w:sz w:val="32"/>
          <w:szCs w:val="32"/>
          <w:highlight w:val="none"/>
        </w:rPr>
      </w:pPr>
      <w:bookmarkStart w:id="221" w:name="_Toc17891"/>
      <w:bookmarkStart w:id="222" w:name="_Toc521184238"/>
      <w:bookmarkStart w:id="223" w:name="_Toc30212"/>
      <w:bookmarkStart w:id="224" w:name="_Toc29858"/>
      <w:bookmarkStart w:id="225" w:name="_Toc4578"/>
      <w:bookmarkStart w:id="226" w:name="_Toc14891"/>
      <w:r>
        <w:rPr>
          <w:rFonts w:hint="default" w:ascii="Times New Roman" w:hAnsi="Times New Roman" w:eastAsia="宋体" w:cs="Times New Roman"/>
          <w:b/>
          <w:bCs/>
          <w:color w:val="auto"/>
          <w:sz w:val="32"/>
          <w:szCs w:val="32"/>
          <w:highlight w:val="none"/>
        </w:rPr>
        <w:t>质量检验</w:t>
      </w:r>
      <w:bookmarkEnd w:id="221"/>
      <w:bookmarkEnd w:id="222"/>
      <w:bookmarkEnd w:id="223"/>
      <w:bookmarkEnd w:id="224"/>
      <w:bookmarkEnd w:id="225"/>
      <w:bookmarkEnd w:id="226"/>
    </w:p>
    <w:p w14:paraId="01C7878B">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27" w:name="_Toc83092450_WPSOffice_Level2"/>
      <w:bookmarkStart w:id="228" w:name="_Toc9102"/>
      <w:bookmarkStart w:id="229" w:name="_Toc5788"/>
      <w:bookmarkStart w:id="230" w:name="_Toc6760"/>
      <w:bookmarkStart w:id="231" w:name="_Toc2105175600"/>
      <w:bookmarkStart w:id="232" w:name="_Toc24809"/>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7.1  原材料质量检验</w:t>
      </w:r>
      <w:bookmarkEnd w:id="227"/>
      <w:bookmarkEnd w:id="228"/>
      <w:bookmarkEnd w:id="229"/>
      <w:bookmarkEnd w:id="230"/>
      <w:bookmarkEnd w:id="231"/>
      <w:bookmarkEnd w:id="232"/>
    </w:p>
    <w:p w14:paraId="754721A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7.1.1  </w:t>
      </w:r>
      <w:r>
        <w:rPr>
          <w:rFonts w:hint="default" w:ascii="Times New Roman" w:hAnsi="Times New Roman" w:eastAsia="宋体" w:cs="Times New Roman"/>
          <w:bCs/>
          <w:color w:val="auto"/>
          <w:sz w:val="24"/>
          <w:szCs w:val="24"/>
          <w:highlight w:val="none"/>
        </w:rPr>
        <w:t>混凝土原材料质量检验</w:t>
      </w:r>
      <w:r>
        <w:rPr>
          <w:rFonts w:hint="default" w:ascii="Times New Roman" w:hAnsi="Times New Roman" w:eastAsia="宋体" w:cs="Times New Roman"/>
          <w:color w:val="auto"/>
          <w:sz w:val="24"/>
          <w:szCs w:val="24"/>
          <w:highlight w:val="none"/>
        </w:rPr>
        <w:t>应包括出厂检验报告或合格证等质量证明文件的查验和收存。</w:t>
      </w:r>
    </w:p>
    <w:p w14:paraId="0F37744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7.1.2  </w:t>
      </w:r>
      <w:r>
        <w:rPr>
          <w:rFonts w:hint="default" w:ascii="Times New Roman" w:hAnsi="Times New Roman" w:eastAsia="宋体" w:cs="Times New Roman"/>
          <w:bCs/>
          <w:color w:val="auto"/>
          <w:sz w:val="24"/>
          <w:szCs w:val="24"/>
          <w:highlight w:val="none"/>
        </w:rPr>
        <w:t>混凝土原</w:t>
      </w:r>
      <w:r>
        <w:rPr>
          <w:rFonts w:hint="default" w:ascii="Times New Roman" w:hAnsi="Times New Roman" w:eastAsia="宋体" w:cs="Times New Roman"/>
          <w:color w:val="auto"/>
          <w:sz w:val="24"/>
          <w:szCs w:val="24"/>
          <w:highlight w:val="none"/>
        </w:rPr>
        <w:t>材料进场时需要检验把关，不合格的</w:t>
      </w:r>
      <w:r>
        <w:rPr>
          <w:rFonts w:hint="default" w:ascii="Times New Roman" w:hAnsi="Times New Roman" w:eastAsia="宋体" w:cs="Times New Roman"/>
          <w:bCs/>
          <w:color w:val="auto"/>
          <w:sz w:val="24"/>
          <w:szCs w:val="24"/>
          <w:highlight w:val="none"/>
        </w:rPr>
        <w:t>原</w:t>
      </w:r>
      <w:r>
        <w:rPr>
          <w:rFonts w:hint="default" w:ascii="Times New Roman" w:hAnsi="Times New Roman" w:eastAsia="宋体" w:cs="Times New Roman"/>
          <w:color w:val="auto"/>
          <w:sz w:val="24"/>
          <w:szCs w:val="24"/>
          <w:highlight w:val="none"/>
        </w:rPr>
        <w:t>材料不能进场。</w:t>
      </w:r>
    </w:p>
    <w:p w14:paraId="44FB16D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7.1.3  </w:t>
      </w:r>
      <w:r>
        <w:rPr>
          <w:rFonts w:hint="default" w:ascii="Times New Roman" w:hAnsi="Times New Roman" w:eastAsia="宋体" w:cs="Times New Roman"/>
          <w:color w:val="auto"/>
          <w:sz w:val="24"/>
          <w:szCs w:val="24"/>
          <w:highlight w:val="none"/>
        </w:rPr>
        <w:t>本条规定了</w:t>
      </w:r>
      <w:r>
        <w:rPr>
          <w:rFonts w:hint="eastAsia" w:ascii="Times New Roman" w:hAnsi="Times New Roman" w:eastAsia="宋体" w:cs="Times New Roman"/>
          <w:color w:val="auto"/>
          <w:sz w:val="24"/>
          <w:szCs w:val="24"/>
          <w:highlight w:val="none"/>
          <w:lang w:val="en-US" w:eastAsia="zh-CN"/>
        </w:rPr>
        <w:t>花岗岩石粉</w:t>
      </w:r>
      <w:r>
        <w:rPr>
          <w:rFonts w:hint="default" w:ascii="Times New Roman" w:hAnsi="Times New Roman" w:eastAsia="宋体" w:cs="Times New Roman"/>
          <w:color w:val="auto"/>
          <w:sz w:val="24"/>
          <w:szCs w:val="24"/>
          <w:highlight w:val="none"/>
        </w:rPr>
        <w:t>的</w:t>
      </w:r>
      <w:r>
        <w:rPr>
          <w:rFonts w:hint="eastAsia" w:ascii="Times New Roman" w:hAnsi="Times New Roman" w:eastAsia="宋体" w:cs="Times New Roman"/>
          <w:color w:val="auto"/>
          <w:sz w:val="24"/>
          <w:szCs w:val="24"/>
          <w:highlight w:val="none"/>
          <w:lang w:val="en-US" w:eastAsia="zh-CN"/>
        </w:rPr>
        <w:t>进场</w:t>
      </w:r>
      <w:r>
        <w:rPr>
          <w:rFonts w:hint="default" w:ascii="Times New Roman" w:hAnsi="Times New Roman" w:eastAsia="宋体" w:cs="Times New Roman"/>
          <w:color w:val="auto"/>
          <w:sz w:val="24"/>
          <w:szCs w:val="24"/>
          <w:highlight w:val="none"/>
        </w:rPr>
        <w:t>检验项目。</w:t>
      </w:r>
    </w:p>
    <w:p w14:paraId="55C503C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7.1.4  </w:t>
      </w:r>
      <w:r>
        <w:rPr>
          <w:rFonts w:hint="default" w:ascii="Times New Roman" w:hAnsi="Times New Roman" w:eastAsia="宋体" w:cs="Times New Roman"/>
          <w:color w:val="auto"/>
          <w:sz w:val="24"/>
          <w:szCs w:val="24"/>
          <w:highlight w:val="none"/>
        </w:rPr>
        <w:t>本条规定了</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石粉的检验批划分。</w:t>
      </w:r>
    </w:p>
    <w:p w14:paraId="24B2424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b/>
          <w:color w:val="auto"/>
          <w:sz w:val="24"/>
          <w:szCs w:val="24"/>
          <w:highlight w:val="none"/>
        </w:rPr>
        <w:t>7.1.</w:t>
      </w:r>
      <w:r>
        <w:rPr>
          <w:rFonts w:hint="eastAsia" w:ascii="Times New Roman" w:hAnsi="Times New Roman" w:eastAsia="宋体" w:cs="Times New Roman"/>
          <w:b/>
          <w:color w:val="auto"/>
          <w:sz w:val="24"/>
          <w:szCs w:val="24"/>
          <w:highlight w:val="none"/>
          <w:lang w:val="en-US" w:eastAsia="zh-CN"/>
        </w:rPr>
        <w:t>5</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color w:val="auto"/>
          <w:sz w:val="24"/>
          <w:szCs w:val="24"/>
          <w:highlight w:val="none"/>
        </w:rPr>
        <w:t>本条规定了</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w:t>
      </w:r>
      <w:r>
        <w:rPr>
          <w:rFonts w:hint="eastAsia" w:ascii="Times New Roman" w:hAnsi="Times New Roman" w:eastAsia="宋体" w:cs="Times New Roman"/>
          <w:color w:val="auto"/>
          <w:sz w:val="24"/>
          <w:szCs w:val="24"/>
          <w:highlight w:val="none"/>
          <w:lang w:val="en-US" w:eastAsia="zh-CN"/>
        </w:rPr>
        <w:t>取样规则</w:t>
      </w:r>
      <w:r>
        <w:rPr>
          <w:rFonts w:hint="default" w:ascii="Times New Roman" w:hAnsi="Times New Roman" w:eastAsia="宋体" w:cs="Times New Roman"/>
          <w:color w:val="auto"/>
          <w:sz w:val="24"/>
          <w:szCs w:val="24"/>
          <w:highlight w:val="none"/>
        </w:rPr>
        <w:t>。</w:t>
      </w:r>
    </w:p>
    <w:p w14:paraId="71DF392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default" w:ascii="Times New Roman" w:hAnsi="Times New Roman" w:eastAsia="宋体" w:cs="Times New Roman"/>
          <w:color w:val="auto"/>
          <w:sz w:val="24"/>
          <w:szCs w:val="24"/>
          <w:highlight w:val="none"/>
        </w:rPr>
      </w:pPr>
    </w:p>
    <w:p w14:paraId="098B2DC5">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33" w:name="_Toc29878"/>
      <w:bookmarkStart w:id="234" w:name="_Toc670436600_WPSOffice_Level2"/>
      <w:bookmarkStart w:id="235" w:name="_Toc1893224875"/>
      <w:bookmarkStart w:id="236" w:name="_Toc18908"/>
      <w:bookmarkStart w:id="237" w:name="_Toc13370"/>
      <w:bookmarkStart w:id="238" w:name="_Toc17407"/>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7.2  混凝土拌合物性能检验</w:t>
      </w:r>
      <w:bookmarkEnd w:id="233"/>
      <w:bookmarkEnd w:id="234"/>
      <w:bookmarkEnd w:id="235"/>
      <w:bookmarkEnd w:id="236"/>
      <w:bookmarkEnd w:id="237"/>
      <w:bookmarkEnd w:id="238"/>
    </w:p>
    <w:p w14:paraId="2F2ECF6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 xml:space="preserve">7.2.1  </w:t>
      </w:r>
      <w:r>
        <w:rPr>
          <w:rFonts w:hint="default" w:ascii="Times New Roman" w:hAnsi="Times New Roman" w:eastAsia="宋体" w:cs="Times New Roman"/>
          <w:color w:val="auto"/>
          <w:sz w:val="24"/>
          <w:szCs w:val="24"/>
          <w:highlight w:val="none"/>
          <w:lang w:val="en-US" w:eastAsia="zh-Hans"/>
        </w:rPr>
        <w:t>混凝土拌合物的</w:t>
      </w:r>
      <w:r>
        <w:rPr>
          <w:rFonts w:hint="default" w:ascii="Times New Roman" w:hAnsi="Times New Roman" w:eastAsia="宋体" w:cs="Times New Roman"/>
          <w:color w:val="auto"/>
          <w:sz w:val="24"/>
          <w:szCs w:val="24"/>
          <w:highlight w:val="none"/>
        </w:rPr>
        <w:t>和易性检验在搅拌地点和浇筑地点都要进行，搅拌地点检验为控制性自检，浇筑地点检验为验收检验，凝结时间检验可以在搅拌地点进行。</w:t>
      </w:r>
    </w:p>
    <w:p w14:paraId="7AB8A02E">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imes New Roman" w:hAnsi="Times New Roman" w:cs="Times New Roman" w:eastAsiaTheme="minorEastAsia"/>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7.2.2  </w:t>
      </w:r>
      <w:r>
        <w:rPr>
          <w:rFonts w:hint="eastAsia" w:ascii="Times New Roman" w:hAnsi="Times New Roman" w:eastAsia="宋体" w:cs="Times New Roman"/>
          <w:color w:val="auto"/>
          <w:sz w:val="24"/>
          <w:szCs w:val="24"/>
          <w:highlight w:val="none"/>
          <w:lang w:val="en-US" w:eastAsia="zh-CN"/>
        </w:rPr>
        <w:t>本条规定了</w:t>
      </w:r>
      <w:r>
        <w:rPr>
          <w:rFonts w:hint="default" w:ascii="Times New Roman" w:hAnsi="Times New Roman" w:cs="Times New Roman" w:eastAsiaTheme="minorEastAsia"/>
          <w:sz w:val="24"/>
          <w:szCs w:val="24"/>
          <w:highlight w:val="none"/>
        </w:rPr>
        <w:t>混凝土拌合物的检验频率</w:t>
      </w:r>
      <w:r>
        <w:rPr>
          <w:rFonts w:hint="eastAsia" w:ascii="Times New Roman" w:hAnsi="Times New Roman" w:cs="Times New Roman"/>
          <w:sz w:val="24"/>
          <w:szCs w:val="24"/>
          <w:highlight w:val="none"/>
          <w:lang w:eastAsia="zh-CN"/>
        </w:rPr>
        <w:t>。</w:t>
      </w:r>
    </w:p>
    <w:p w14:paraId="13915AF6">
      <w:pPr>
        <w:pStyle w:val="44"/>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left="0" w:leftChars="0" w:firstLine="0" w:firstLineChars="0"/>
        <w:jc w:val="center"/>
        <w:textAlignment w:val="auto"/>
        <w:outlineLvl w:val="1"/>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pPr>
      <w:bookmarkStart w:id="239" w:name="_Toc18502"/>
      <w:bookmarkStart w:id="240" w:name="_Toc165276526"/>
      <w:bookmarkStart w:id="241" w:name="_Toc29022"/>
      <w:bookmarkStart w:id="242" w:name="_Toc181240391_WPSOffice_Level2"/>
      <w:bookmarkStart w:id="243" w:name="_Toc30172"/>
      <w:bookmarkStart w:id="244" w:name="_Toc26423"/>
      <w:r>
        <w:rPr>
          <w:rFonts w:hint="default" w:ascii="Times New Roman" w:hAnsi="Times New Roman" w:eastAsia="宋体" w:cs="Times New Roman"/>
          <w:b/>
          <w:bCs/>
          <w:i w:val="0"/>
          <w:iCs w:val="0"/>
          <w:caps w:val="0"/>
          <w:strike w:val="0"/>
          <w:dstrike w:val="0"/>
          <w:vanish w:val="0"/>
          <w:color w:val="auto"/>
          <w:spacing w:val="0"/>
          <w:kern w:val="0"/>
          <w:position w:val="0"/>
          <w:sz w:val="28"/>
          <w:szCs w:val="28"/>
          <w:highlight w:val="none"/>
          <w:u w:val="none"/>
          <w:vertAlign w:val="baseline"/>
          <w:lang w:val="en-US" w:eastAsia="zh-CN" w:bidi="ar-SA"/>
        </w:rPr>
        <w:t>7.3  硬化混凝土性能检验</w:t>
      </w:r>
      <w:bookmarkEnd w:id="239"/>
      <w:bookmarkEnd w:id="240"/>
      <w:bookmarkEnd w:id="241"/>
      <w:bookmarkEnd w:id="242"/>
      <w:bookmarkEnd w:id="243"/>
      <w:bookmarkEnd w:id="244"/>
    </w:p>
    <w:p w14:paraId="55D3546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7.3.1</w:t>
      </w:r>
      <w:r>
        <w:rPr>
          <w:rFonts w:hint="default" w:ascii="Times New Roman" w:hAnsi="Times New Roman" w:eastAsia="宋体" w:cs="Times New Roman"/>
          <w:color w:val="auto"/>
          <w:sz w:val="24"/>
          <w:szCs w:val="24"/>
          <w:highlight w:val="none"/>
        </w:rPr>
        <w:t xml:space="preserve">  本条规定了掺加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石粉的混凝土强度检验评定及其他力学性能检验的标准依据。</w:t>
      </w:r>
    </w:p>
    <w:p w14:paraId="2579162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7.3.2</w:t>
      </w:r>
      <w:r>
        <w:rPr>
          <w:rFonts w:hint="default" w:ascii="Times New Roman" w:hAnsi="Times New Roman" w:eastAsia="宋体" w:cs="Times New Roman"/>
          <w:color w:val="auto"/>
          <w:sz w:val="24"/>
          <w:szCs w:val="24"/>
          <w:highlight w:val="none"/>
        </w:rPr>
        <w:t xml:space="preserve">  本条规定了掺加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石粉的混凝土耐久性能检验评定的标准依据。</w:t>
      </w:r>
    </w:p>
    <w:p w14:paraId="1C9333FC">
      <w:pPr>
        <w:pStyle w:val="44"/>
        <w:keepNext w:val="0"/>
        <w:keepLines w:val="0"/>
        <w:pageBreakBefore w:val="0"/>
        <w:numPr>
          <w:ilvl w:val="1"/>
          <w:numId w:val="0"/>
        </w:numPr>
        <w:kinsoku/>
        <w:wordWrap/>
        <w:overflowPunct/>
        <w:topLinePunct w:val="0"/>
        <w:bidi w:val="0"/>
        <w:snapToGrid/>
        <w:spacing w:before="0" w:beforeLines="0" w:after="0" w:afterLines="0" w:line="400" w:lineRule="exact"/>
        <w:ind w:leftChars="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b/>
          <w:color w:val="auto"/>
          <w:sz w:val="24"/>
          <w:szCs w:val="24"/>
          <w:highlight w:val="none"/>
        </w:rPr>
        <w:t>7.3.3</w:t>
      </w:r>
      <w:r>
        <w:rPr>
          <w:rFonts w:hint="default" w:ascii="Times New Roman" w:hAnsi="Times New Roman" w:eastAsia="宋体" w:cs="Times New Roman"/>
          <w:color w:val="auto"/>
          <w:sz w:val="24"/>
          <w:szCs w:val="24"/>
          <w:highlight w:val="none"/>
        </w:rPr>
        <w:t xml:space="preserve">  《混凝土耐久性检验评定标准》JGJ/T 193没有对混凝土的长期性能的检验规则进行规定，本条规定了掺加</w:t>
      </w:r>
      <w:r>
        <w:rPr>
          <w:rFonts w:hint="default" w:ascii="Times New Roman" w:hAnsi="Times New Roman" w:eastAsia="宋体" w:cs="Times New Roman"/>
          <w:color w:val="auto"/>
          <w:sz w:val="24"/>
          <w:szCs w:val="24"/>
          <w:highlight w:val="none"/>
          <w:lang w:val="en-US" w:eastAsia="zh-Hans"/>
        </w:rPr>
        <w:t>花岗岩</w:t>
      </w:r>
      <w:r>
        <w:rPr>
          <w:rFonts w:hint="default" w:ascii="Times New Roman" w:hAnsi="Times New Roman" w:eastAsia="宋体" w:cs="Times New Roman"/>
          <w:color w:val="auto"/>
          <w:sz w:val="24"/>
          <w:szCs w:val="24"/>
          <w:highlight w:val="none"/>
        </w:rPr>
        <w:t>石粉的混凝土长期性能检验规则可以按该标准耐久性能的检验规则执行。</w:t>
      </w:r>
    </w:p>
    <w:p w14:paraId="2E124535">
      <w:pPr>
        <w:pStyle w:val="56"/>
        <w:numPr>
          <w:ilvl w:val="-1"/>
          <w:numId w:val="0"/>
        </w:numPr>
        <w:tabs>
          <w:tab w:val="left" w:pos="420"/>
          <w:tab w:val="clear" w:pos="4201"/>
          <w:tab w:val="clear" w:pos="9298"/>
        </w:tabs>
        <w:snapToGrid w:val="0"/>
        <w:spacing w:line="360" w:lineRule="auto"/>
        <w:rPr>
          <w:rFonts w:ascii="Times New Roman" w:hAnsi="Times New Roman"/>
          <w:highlight w:val="none"/>
        </w:rPr>
      </w:pPr>
      <w:r>
        <w:rPr>
          <w:rFonts w:hint="eastAsia" w:ascii="Times New Roman" w:hAnsi="Times New Roman"/>
          <w:highlight w:val="none"/>
        </w:rPr>
        <mc:AlternateContent>
          <mc:Choice Requires="wps">
            <w:drawing>
              <wp:anchor distT="0" distB="0" distL="114300" distR="114300" simplePos="0" relativeHeight="251666432"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6432;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pgSz w:w="11906" w:h="16838"/>
      <w:pgMar w:top="1701" w:right="1134" w:bottom="1134" w:left="1418" w:header="1361" w:footer="1134" w:gutter="0"/>
      <w:pgBorders>
        <w:top w:val="none" w:sz="0" w:space="0"/>
        <w:left w:val="none" w:sz="0" w:space="0"/>
        <w:bottom w:val="none" w:sz="0" w:space="0"/>
        <w:right w:val="none" w:sz="0" w:space="0"/>
      </w:pgBorders>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0"/>
    <w:family w:val="auto"/>
    <w:pitch w:val="default"/>
    <w:sig w:usb0="E00006FF" w:usb1="420024FF" w:usb2="02000000" w:usb3="00000000" w:csb0="2000019F"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049DE">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DF3D">
    <w:pPr>
      <w:pStyle w:val="12"/>
      <w:ind w:firstLine="360"/>
    </w:pPr>
  </w:p>
  <w:p w14:paraId="0586E7E2">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5123C">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EAF7A">
    <w:pPr>
      <w:pStyle w:val="5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2EA92E">
                          <w:pPr>
                            <w:pStyle w:val="5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62EA92E">
                    <w:pPr>
                      <w:pStyle w:val="5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60A4">
    <w:pPr>
      <w:pStyle w:val="12"/>
      <w:ind w:firstLine="36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F3AD93">
                          <w:pPr>
                            <w:pStyle w:val="12"/>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8F3AD93">
                    <w:pPr>
                      <w:pStyle w:val="12"/>
                    </w:pPr>
                    <w:r>
                      <w:fldChar w:fldCharType="begin"/>
                    </w:r>
                    <w:r>
                      <w:instrText xml:space="preserve"> PAGE  \* MERGEFORMAT </w:instrText>
                    </w:r>
                    <w:r>
                      <w:fldChar w:fldCharType="separate"/>
                    </w:r>
                    <w:r>
                      <w:t>II</w:t>
                    </w:r>
                    <w:r>
                      <w:fldChar w:fldCharType="end"/>
                    </w:r>
                  </w:p>
                </w:txbxContent>
              </v:textbox>
            </v:shape>
          </w:pict>
        </mc:Fallback>
      </mc:AlternateContent>
    </w:r>
  </w:p>
  <w:p w14:paraId="4D3422BB">
    <w:pPr>
      <w:pStyle w:val="1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FB3DA">
    <w:pPr>
      <w:pStyle w:val="59"/>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293370" cy="34417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93370" cy="3441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3FD3B0">
                          <w:pPr>
                            <w:pStyle w:val="59"/>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7.1pt;width:23.1pt;mso-position-horizontal:outside;mso-position-horizontal-relative:margin;z-index:251660288;mso-width-relative:page;mso-height-relative:page;" filled="f" stroked="f" coordsize="21600,21600" o:gfxdata="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Jv3Nh1AAAAAMBAAAPAAAAAAAAAAEAIAAAACIAAABkcnMvZG93bnJldi54&#10;bWxQSwECFAAUAAAACACHTuJASgLuJzcCAABhBAAADgAAAAAAAAABACAAAAAjAQAAZHJzL2Uyb0Rv&#10;Yy54bWxQSwUGAAAAAAYABgBZAQAAzAUAAAAA&#10;">
              <v:fill on="f" focussize="0,0"/>
              <v:stroke on="f" weight="0.5pt"/>
              <v:imagedata o:title=""/>
              <o:lock v:ext="edit" aspectratio="f"/>
              <v:textbox inset="0mm,0mm,0mm,0mm">
                <w:txbxContent>
                  <w:p w14:paraId="5E3FD3B0">
                    <w:pPr>
                      <w:pStyle w:val="59"/>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4C658">
    <w:pPr>
      <w:pStyle w:val="12"/>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0A97C0">
                          <w:pPr>
                            <w:pStyle w:val="12"/>
                            <w:ind w:firstLine="360"/>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6</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90A97C0">
                    <w:pPr>
                      <w:pStyle w:val="12"/>
                      <w:ind w:firstLine="360"/>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6</w:t>
                    </w:r>
                    <w:r>
                      <w:rPr>
                        <w:rFonts w:hint="default" w:ascii="Times New Roman" w:hAnsi="Times New Roman" w:cs="Times New Roman"/>
                      </w:rPr>
                      <w:fldChar w:fldCharType="end"/>
                    </w:r>
                  </w:p>
                </w:txbxContent>
              </v:textbox>
            </v:shape>
          </w:pict>
        </mc:Fallback>
      </mc:AlternateContent>
    </w:r>
  </w:p>
  <w:p w14:paraId="0DE1D6BE">
    <w:pPr>
      <w:pStyle w:val="12"/>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F768F">
    <w:pPr>
      <w:pStyle w:val="12"/>
      <w:tabs>
        <w:tab w:val="clear" w:pos="4201"/>
        <w:tab w:val="clear" w:pos="9298"/>
      </w:tabs>
      <w:jc w:val="both"/>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AA581">
                          <w:pPr>
                            <w:pStyle w:val="12"/>
                            <w:tabs>
                              <w:tab w:val="clear" w:pos="4201"/>
                              <w:tab w:val="clear" w:pos="9298"/>
                            </w:tabs>
                            <w:jc w:val="cente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lang w:val="zh-CN"/>
                            </w:rPr>
                            <w:t>35</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3F0AA581">
                    <w:pPr>
                      <w:pStyle w:val="12"/>
                      <w:tabs>
                        <w:tab w:val="clear" w:pos="4201"/>
                        <w:tab w:val="clear" w:pos="9298"/>
                      </w:tabs>
                      <w:jc w:val="cente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lang w:val="zh-CN"/>
                      </w:rPr>
                      <w:t>35</w:t>
                    </w:r>
                    <w:r>
                      <w:rPr>
                        <w:rFonts w:hint="default"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903FE">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D09E6">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C767F">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7A6F7">
    <w:pPr>
      <w:pStyle w:val="60"/>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7BC59"/>
    <w:multiLevelType w:val="singleLevel"/>
    <w:tmpl w:val="AE07BC59"/>
    <w:lvl w:ilvl="0" w:tentative="0">
      <w:start w:val="1"/>
      <w:numFmt w:val="decimal"/>
      <w:suff w:val="nothing"/>
      <w:lvlText w:val="%1  "/>
      <w:lvlJc w:val="left"/>
      <w:pPr>
        <w:tabs>
          <w:tab w:val="left" w:pos="0"/>
        </w:tabs>
        <w:ind w:left="0" w:firstLine="403"/>
      </w:pPr>
      <w:rPr>
        <w:rFonts w:hint="default" w:ascii="黑体" w:hAnsi="黑体" w:eastAsia="黑体" w:cs="黑体"/>
        <w:b w:val="0"/>
        <w:bCs w:val="0"/>
      </w:rPr>
    </w:lvl>
  </w:abstractNum>
  <w:abstractNum w:abstractNumId="1">
    <w:nsid w:val="D82D854C"/>
    <w:multiLevelType w:val="singleLevel"/>
    <w:tmpl w:val="D82D854C"/>
    <w:lvl w:ilvl="0" w:tentative="0">
      <w:start w:val="1"/>
      <w:numFmt w:val="decimal"/>
      <w:suff w:val="nothing"/>
      <w:lvlText w:val="%1  "/>
      <w:lvlJc w:val="left"/>
      <w:pPr>
        <w:tabs>
          <w:tab w:val="left" w:pos="0"/>
        </w:tabs>
        <w:ind w:left="0" w:firstLine="403"/>
      </w:pPr>
      <w:rPr>
        <w:rFonts w:hint="default" w:ascii="黑体" w:hAnsi="黑体" w:eastAsia="黑体" w:cs="黑体"/>
        <w:b w:val="0"/>
        <w:bCs w:val="0"/>
      </w:rPr>
    </w:lvl>
  </w:abstractNum>
  <w:abstractNum w:abstractNumId="2">
    <w:nsid w:val="DD100CAC"/>
    <w:multiLevelType w:val="multilevel"/>
    <w:tmpl w:val="DD100CAC"/>
    <w:lvl w:ilvl="0" w:tentative="0">
      <w:start w:val="1"/>
      <w:numFmt w:val="decimal"/>
      <w:suff w:val="nothing"/>
      <w:lvlText w:val="1.0.%1 "/>
      <w:lvlJc w:val="left"/>
      <w:pPr>
        <w:tabs>
          <w:tab w:val="left" w:pos="0"/>
        </w:tabs>
        <w:ind w:left="0" w:firstLine="0"/>
      </w:pPr>
      <w:rPr>
        <w:rFonts w:hint="default" w:ascii="Times New Roman" w:hAnsi="Times New Roman" w:eastAsia="宋体" w:cs="Times New Roman"/>
        <w:b/>
        <w:bCs/>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3">
    <w:nsid w:val="DF1727AC"/>
    <w:multiLevelType w:val="singleLevel"/>
    <w:tmpl w:val="DF1727AC"/>
    <w:lvl w:ilvl="0" w:tentative="0">
      <w:start w:val="1"/>
      <w:numFmt w:val="decimal"/>
      <w:suff w:val="nothing"/>
      <w:lvlText w:val="6.4.%1 "/>
      <w:lvlJc w:val="left"/>
      <w:pPr>
        <w:tabs>
          <w:tab w:val="left" w:pos="0"/>
        </w:tabs>
        <w:ind w:left="0" w:firstLine="0"/>
      </w:pPr>
      <w:rPr>
        <w:rFonts w:hint="default" w:ascii="Times New Roman" w:hAnsi="Times New Roman" w:eastAsia="宋体" w:cs="Times New Roman"/>
        <w:b/>
        <w:bCs/>
      </w:rPr>
    </w:lvl>
  </w:abstractNum>
  <w:abstractNum w:abstractNumId="4">
    <w:nsid w:val="E33DE503"/>
    <w:multiLevelType w:val="singleLevel"/>
    <w:tmpl w:val="E33DE503"/>
    <w:lvl w:ilvl="0" w:tentative="0">
      <w:start w:val="1"/>
      <w:numFmt w:val="decimal"/>
      <w:suff w:val="nothing"/>
      <w:lvlText w:val="6.5.%1 "/>
      <w:lvlJc w:val="left"/>
      <w:pPr>
        <w:tabs>
          <w:tab w:val="left" w:pos="0"/>
        </w:tabs>
        <w:ind w:left="0" w:firstLine="0"/>
      </w:pPr>
      <w:rPr>
        <w:rFonts w:hint="default" w:ascii="Times New Roman" w:hAnsi="Times New Roman" w:eastAsia="宋体" w:cs="Times New Roman"/>
        <w:b/>
        <w:bCs/>
      </w:rPr>
    </w:lvl>
  </w:abstractNum>
  <w:abstractNum w:abstractNumId="5">
    <w:nsid w:val="E51EAAF1"/>
    <w:multiLevelType w:val="singleLevel"/>
    <w:tmpl w:val="E51EAAF1"/>
    <w:lvl w:ilvl="0" w:tentative="0">
      <w:start w:val="1"/>
      <w:numFmt w:val="decimal"/>
      <w:suff w:val="nothing"/>
      <w:lvlText w:val="4.1.%1 "/>
      <w:lvlJc w:val="left"/>
      <w:pPr>
        <w:tabs>
          <w:tab w:val="left" w:pos="0"/>
        </w:tabs>
        <w:ind w:left="0" w:firstLine="0"/>
      </w:pPr>
      <w:rPr>
        <w:rFonts w:hint="default" w:ascii="Times New Roman" w:hAnsi="Times New Roman" w:eastAsia="宋体" w:cs="Times New Roman"/>
        <w:b/>
        <w:bCs/>
      </w:rPr>
    </w:lvl>
  </w:abstractNum>
  <w:abstractNum w:abstractNumId="6">
    <w:nsid w:val="F50BEA17"/>
    <w:multiLevelType w:val="singleLevel"/>
    <w:tmpl w:val="F50BEA17"/>
    <w:lvl w:ilvl="0" w:tentative="0">
      <w:start w:val="1"/>
      <w:numFmt w:val="decimal"/>
      <w:suff w:val="nothing"/>
      <w:lvlText w:val="%1 "/>
      <w:lvlJc w:val="left"/>
      <w:pPr>
        <w:ind w:left="0" w:firstLine="403"/>
      </w:pPr>
      <w:rPr>
        <w:rFonts w:hint="default"/>
      </w:rPr>
    </w:lvl>
  </w:abstractNum>
  <w:abstractNum w:abstractNumId="7">
    <w:nsid w:val="F807C9B6"/>
    <w:multiLevelType w:val="singleLevel"/>
    <w:tmpl w:val="F807C9B6"/>
    <w:lvl w:ilvl="0" w:tentative="0">
      <w:start w:val="1"/>
      <w:numFmt w:val="decimal"/>
      <w:suff w:val="nothing"/>
      <w:lvlText w:val="7.2.%1 "/>
      <w:lvlJc w:val="left"/>
      <w:pPr>
        <w:tabs>
          <w:tab w:val="left" w:pos="0"/>
        </w:tabs>
        <w:ind w:left="0" w:firstLine="0"/>
      </w:pPr>
      <w:rPr>
        <w:rFonts w:hint="default" w:ascii="Times New Roman" w:hAnsi="Times New Roman" w:eastAsia="宋体" w:cs="Times New Roman"/>
        <w:b/>
        <w:bCs/>
      </w:rPr>
    </w:lvl>
  </w:abstractNum>
  <w:abstractNum w:abstractNumId="8">
    <w:nsid w:val="FFF4FDC9"/>
    <w:multiLevelType w:val="singleLevel"/>
    <w:tmpl w:val="FFF4FDC9"/>
    <w:lvl w:ilvl="0" w:tentative="0">
      <w:start w:val="1"/>
      <w:numFmt w:val="decimal"/>
      <w:suff w:val="nothing"/>
      <w:lvlText w:val="6.2.%1 "/>
      <w:lvlJc w:val="left"/>
      <w:pPr>
        <w:tabs>
          <w:tab w:val="left" w:pos="0"/>
        </w:tabs>
        <w:ind w:left="0" w:firstLine="0"/>
      </w:pPr>
      <w:rPr>
        <w:rFonts w:hint="default" w:ascii="Times New Roman" w:hAnsi="Times New Roman" w:eastAsia="宋体" w:cs="Times New Roman"/>
        <w:b/>
        <w:bCs/>
      </w:rPr>
    </w:lvl>
  </w:abstractNum>
  <w:abstractNum w:abstractNumId="9">
    <w:nsid w:val="0C843467"/>
    <w:multiLevelType w:val="singleLevel"/>
    <w:tmpl w:val="0C843467"/>
    <w:lvl w:ilvl="0" w:tentative="0">
      <w:start w:val="1"/>
      <w:numFmt w:val="decimal"/>
      <w:suff w:val="nothing"/>
      <w:lvlText w:val="2.0.%1 "/>
      <w:lvlJc w:val="left"/>
      <w:pPr>
        <w:tabs>
          <w:tab w:val="left" w:pos="0"/>
        </w:tabs>
        <w:ind w:left="0" w:firstLine="0"/>
      </w:pPr>
      <w:rPr>
        <w:rFonts w:hint="default" w:ascii="Times New Roman" w:hAnsi="Times New Roman" w:eastAsia="宋体" w:cs="Times New Roman"/>
        <w:b/>
        <w:bCs/>
      </w:rPr>
    </w:lvl>
  </w:abstractNum>
  <w:abstractNum w:abstractNumId="10">
    <w:nsid w:val="197243DE"/>
    <w:multiLevelType w:val="singleLevel"/>
    <w:tmpl w:val="197243DE"/>
    <w:lvl w:ilvl="0" w:tentative="0">
      <w:start w:val="1"/>
      <w:numFmt w:val="decimal"/>
      <w:suff w:val="nothing"/>
      <w:lvlText w:val="4.3.%1 "/>
      <w:lvlJc w:val="left"/>
      <w:pPr>
        <w:tabs>
          <w:tab w:val="left" w:pos="0"/>
        </w:tabs>
        <w:ind w:left="0" w:firstLine="0"/>
      </w:pPr>
      <w:rPr>
        <w:rFonts w:hint="default" w:ascii="Times New Roman" w:hAnsi="Times New Roman" w:eastAsia="宋体" w:cs="Times New Roman"/>
        <w:b/>
        <w:bCs/>
        <w:sz w:val="24"/>
        <w:szCs w:val="24"/>
      </w:rPr>
    </w:lvl>
  </w:abstractNum>
  <w:abstractNum w:abstractNumId="11">
    <w:nsid w:val="19FA7139"/>
    <w:multiLevelType w:val="singleLevel"/>
    <w:tmpl w:val="19FA7139"/>
    <w:lvl w:ilvl="0" w:tentative="0">
      <w:start w:val="1"/>
      <w:numFmt w:val="decimal"/>
      <w:suff w:val="nothing"/>
      <w:lvlText w:val="%1  "/>
      <w:lvlJc w:val="left"/>
      <w:pPr>
        <w:tabs>
          <w:tab w:val="left" w:pos="0"/>
        </w:tabs>
        <w:ind w:left="0" w:firstLine="403"/>
      </w:pPr>
      <w:rPr>
        <w:rFonts w:hint="default" w:ascii="黑体" w:hAnsi="黑体" w:eastAsia="黑体" w:cs="黑体"/>
        <w:b w:val="0"/>
        <w:bCs w:val="0"/>
      </w:rPr>
    </w:lvl>
  </w:abstractNum>
  <w:abstractNum w:abstractNumId="1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344009D5"/>
    <w:multiLevelType w:val="singleLevel"/>
    <w:tmpl w:val="344009D5"/>
    <w:lvl w:ilvl="0" w:tentative="0">
      <w:start w:val="1"/>
      <w:numFmt w:val="decimal"/>
      <w:suff w:val="nothing"/>
      <w:lvlText w:val="6.4.%1 "/>
      <w:lvlJc w:val="left"/>
      <w:pPr>
        <w:tabs>
          <w:tab w:val="left" w:pos="0"/>
        </w:tabs>
        <w:ind w:left="0" w:firstLine="0"/>
      </w:pPr>
      <w:rPr>
        <w:rFonts w:hint="default" w:ascii="Times New Roman" w:hAnsi="Times New Roman" w:eastAsia="宋体" w:cs="Times New Roman"/>
        <w:b/>
        <w:bCs/>
      </w:rPr>
    </w:lvl>
  </w:abstractNum>
  <w:abstractNum w:abstractNumId="14">
    <w:nsid w:val="3EC0E745"/>
    <w:multiLevelType w:val="singleLevel"/>
    <w:tmpl w:val="3EC0E745"/>
    <w:lvl w:ilvl="0" w:tentative="0">
      <w:start w:val="1"/>
      <w:numFmt w:val="decimal"/>
      <w:suff w:val="nothing"/>
      <w:lvlText w:val="6.1.%1 "/>
      <w:lvlJc w:val="left"/>
      <w:pPr>
        <w:tabs>
          <w:tab w:val="left" w:pos="0"/>
        </w:tabs>
        <w:ind w:left="0" w:firstLine="0"/>
      </w:pPr>
      <w:rPr>
        <w:rFonts w:hint="default" w:ascii="Times New Roman" w:hAnsi="Times New Roman" w:eastAsia="宋体" w:cs="Times New Roman"/>
        <w:b/>
        <w:bCs/>
      </w:rPr>
    </w:lvl>
  </w:abstractNum>
  <w:abstractNum w:abstractNumId="15">
    <w:nsid w:val="41DC4AD9"/>
    <w:multiLevelType w:val="singleLevel"/>
    <w:tmpl w:val="41DC4AD9"/>
    <w:lvl w:ilvl="0" w:tentative="0">
      <w:start w:val="1"/>
      <w:numFmt w:val="decimal"/>
      <w:suff w:val="nothing"/>
      <w:lvlText w:val="%1  "/>
      <w:lvlJc w:val="left"/>
      <w:pPr>
        <w:tabs>
          <w:tab w:val="left" w:pos="0"/>
        </w:tabs>
        <w:ind w:left="0" w:firstLine="403"/>
      </w:pPr>
      <w:rPr>
        <w:rFonts w:hint="default" w:ascii="黑体" w:hAnsi="黑体" w:eastAsia="黑体" w:cs="黑体"/>
        <w:b w:val="0"/>
        <w:bCs w:val="0"/>
      </w:rPr>
    </w:lvl>
  </w:abstractNum>
  <w:abstractNum w:abstractNumId="16">
    <w:nsid w:val="45A62457"/>
    <w:multiLevelType w:val="multilevel"/>
    <w:tmpl w:val="45A62457"/>
    <w:lvl w:ilvl="0" w:tentative="0">
      <w:start w:val="2"/>
      <w:numFmt w:val="upperLetter"/>
      <w:pStyle w:val="84"/>
      <w:suff w:val="nothing"/>
      <w:lvlText w:val="附　录　%1"/>
      <w:lvlJc w:val="left"/>
      <w:pPr>
        <w:ind w:left="0" w:firstLine="0"/>
      </w:pPr>
      <w:rPr>
        <w:rFonts w:hint="default" w:ascii="黑体" w:hAnsi="Times New Roman" w:eastAsia="黑体"/>
        <w:b w:val="0"/>
        <w:i w:val="0"/>
        <w:sz w:val="21"/>
      </w:rPr>
    </w:lvl>
    <w:lvl w:ilvl="1" w:tentative="0">
      <w:start w:val="1"/>
      <w:numFmt w:val="decimal"/>
      <w:pStyle w:val="85"/>
      <w:suff w:val="nothing"/>
      <w:lvlText w:val="%1.%2　"/>
      <w:lvlJc w:val="left"/>
      <w:pPr>
        <w:tabs>
          <w:tab w:val="left" w:pos="0"/>
        </w:tabs>
        <w:ind w:left="0" w:firstLine="0"/>
      </w:pPr>
      <w:rPr>
        <w:rFonts w:hint="default" w:ascii="黑体" w:hAnsi="Times New Roman" w:eastAsia="黑体"/>
        <w:b w:val="0"/>
        <w:i w:val="0"/>
        <w:snapToGrid/>
        <w:spacing w:val="0"/>
        <w:w w:val="100"/>
        <w:kern w:val="21"/>
        <w:sz w:val="21"/>
      </w:rPr>
    </w:lvl>
    <w:lvl w:ilvl="2" w:tentative="0">
      <w:start w:val="1"/>
      <w:numFmt w:val="decimal"/>
      <w:pStyle w:val="86"/>
      <w:suff w:val="nothing"/>
      <w:lvlText w:val="%1.1.%3 "/>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47C97CFA"/>
    <w:multiLevelType w:val="singleLevel"/>
    <w:tmpl w:val="47C97CFA"/>
    <w:lvl w:ilvl="0" w:tentative="0">
      <w:start w:val="1"/>
      <w:numFmt w:val="decimal"/>
      <w:suff w:val="nothing"/>
      <w:lvlText w:val="7.3.%1 "/>
      <w:lvlJc w:val="left"/>
      <w:pPr>
        <w:tabs>
          <w:tab w:val="left" w:pos="0"/>
        </w:tabs>
        <w:ind w:left="0" w:firstLine="0"/>
      </w:pPr>
      <w:rPr>
        <w:rFonts w:hint="default" w:ascii="Times New Roman" w:hAnsi="Times New Roman" w:eastAsia="宋体" w:cs="Times New Roman"/>
        <w:b/>
        <w:bCs/>
      </w:rPr>
    </w:lvl>
  </w:abstractNum>
  <w:abstractNum w:abstractNumId="18">
    <w:nsid w:val="49DD6F04"/>
    <w:multiLevelType w:val="multilevel"/>
    <w:tmpl w:val="49DD6F04"/>
    <w:lvl w:ilvl="0" w:tentative="0">
      <w:start w:val="1"/>
      <w:numFmt w:val="decimal"/>
      <w:pStyle w:val="69"/>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9">
    <w:nsid w:val="4B9CF5DD"/>
    <w:multiLevelType w:val="singleLevel"/>
    <w:tmpl w:val="4B9CF5DD"/>
    <w:lvl w:ilvl="0" w:tentative="0">
      <w:start w:val="1"/>
      <w:numFmt w:val="decimal"/>
      <w:suff w:val="nothing"/>
      <w:lvlText w:val="%1  "/>
      <w:lvlJc w:val="left"/>
      <w:pPr>
        <w:tabs>
          <w:tab w:val="left" w:pos="0"/>
        </w:tabs>
        <w:ind w:left="0" w:firstLine="403"/>
      </w:pPr>
      <w:rPr>
        <w:rFonts w:hint="default" w:ascii="黑体" w:hAnsi="黑体" w:eastAsia="黑体" w:cs="黑体"/>
        <w:b w:val="0"/>
        <w:bCs w:val="0"/>
      </w:rPr>
    </w:lvl>
  </w:abstractNum>
  <w:abstractNum w:abstractNumId="20">
    <w:nsid w:val="519EB7F8"/>
    <w:multiLevelType w:val="singleLevel"/>
    <w:tmpl w:val="519EB7F8"/>
    <w:lvl w:ilvl="0" w:tentative="0">
      <w:start w:val="1"/>
      <w:numFmt w:val="decimal"/>
      <w:suff w:val="nothing"/>
      <w:lvlText w:val="4.2.%1 "/>
      <w:lvlJc w:val="left"/>
      <w:pPr>
        <w:tabs>
          <w:tab w:val="left" w:pos="0"/>
        </w:tabs>
        <w:ind w:left="0" w:firstLine="0"/>
      </w:pPr>
      <w:rPr>
        <w:rFonts w:hint="default" w:ascii="Times New Roman" w:hAnsi="Times New Roman" w:eastAsia="宋体" w:cs="Times New Roman"/>
        <w:b/>
        <w:bCs/>
      </w:rPr>
    </w:lvl>
  </w:abstractNum>
  <w:abstractNum w:abstractNumId="21">
    <w:nsid w:val="59637C94"/>
    <w:multiLevelType w:val="multilevel"/>
    <w:tmpl w:val="59637C94"/>
    <w:lvl w:ilvl="0" w:tentative="0">
      <w:start w:val="1"/>
      <w:numFmt w:val="decimal"/>
      <w:pStyle w:val="79"/>
      <w:lvlText w:val="%1"/>
      <w:lvlJc w:val="left"/>
      <w:pPr>
        <w:tabs>
          <w:tab w:val="left" w:pos="360"/>
        </w:tabs>
        <w:ind w:left="360" w:hanging="360"/>
      </w:pPr>
      <w:rPr>
        <w:rFonts w:ascii="Times New Roman" w:hAnsi="Times New Roman" w:eastAsia="Times New Roman" w:cs="Times New Roman"/>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22">
    <w:nsid w:val="5ADD59E7"/>
    <w:multiLevelType w:val="singleLevel"/>
    <w:tmpl w:val="5ADD59E7"/>
    <w:lvl w:ilvl="0" w:tentative="0">
      <w:start w:val="1"/>
      <w:numFmt w:val="decimal"/>
      <w:suff w:val="nothing"/>
      <w:lvlText w:val="5.0.%1 "/>
      <w:lvlJc w:val="left"/>
      <w:pPr>
        <w:tabs>
          <w:tab w:val="left" w:pos="0"/>
        </w:tabs>
        <w:ind w:left="0" w:firstLine="0"/>
      </w:pPr>
      <w:rPr>
        <w:rFonts w:hint="default" w:ascii="Times New Roman" w:hAnsi="Times New Roman" w:eastAsia="宋体" w:cs="Times New Roman"/>
        <w:b/>
        <w:bCs/>
      </w:rPr>
    </w:lvl>
  </w:abstractNum>
  <w:abstractNum w:abstractNumId="23">
    <w:nsid w:val="675A6ECE"/>
    <w:multiLevelType w:val="singleLevel"/>
    <w:tmpl w:val="675A6ECE"/>
    <w:lvl w:ilvl="0" w:tentative="0">
      <w:start w:val="1"/>
      <w:numFmt w:val="decimal"/>
      <w:suff w:val="nothing"/>
      <w:lvlText w:val="3.2.%1 "/>
      <w:lvlJc w:val="left"/>
      <w:pPr>
        <w:tabs>
          <w:tab w:val="left" w:pos="0"/>
        </w:tabs>
        <w:ind w:left="0" w:firstLine="0"/>
      </w:pPr>
      <w:rPr>
        <w:rFonts w:hint="default" w:ascii="Times New Roman" w:hAnsi="Times New Roman" w:eastAsia="宋体" w:cs="Times New Roman"/>
        <w:b/>
        <w:bCs/>
      </w:rPr>
    </w:lvl>
  </w:abstractNum>
  <w:abstractNum w:abstractNumId="24">
    <w:nsid w:val="79A183B6"/>
    <w:multiLevelType w:val="singleLevel"/>
    <w:tmpl w:val="79A183B6"/>
    <w:lvl w:ilvl="0" w:tentative="0">
      <w:start w:val="1"/>
      <w:numFmt w:val="decimal"/>
      <w:suff w:val="nothing"/>
      <w:lvlText w:val="7.1.%1 "/>
      <w:lvlJc w:val="left"/>
      <w:pPr>
        <w:tabs>
          <w:tab w:val="left" w:pos="0"/>
        </w:tabs>
        <w:ind w:left="0" w:firstLine="0"/>
      </w:pPr>
      <w:rPr>
        <w:rFonts w:hint="default" w:ascii="Times New Roman" w:hAnsi="Times New Roman" w:eastAsia="宋体" w:cs="Times New Roman"/>
        <w:b/>
        <w:bCs/>
        <w:color w:val="000000" w:themeColor="text1"/>
        <w14:textFill>
          <w14:solidFill>
            <w14:schemeClr w14:val="tx1"/>
          </w14:solidFill>
        </w14:textFill>
      </w:rPr>
    </w:lvl>
  </w:abstractNum>
  <w:num w:numId="1">
    <w:abstractNumId w:val="12"/>
  </w:num>
  <w:num w:numId="2">
    <w:abstractNumId w:val="18"/>
  </w:num>
  <w:num w:numId="3">
    <w:abstractNumId w:val="21"/>
  </w:num>
  <w:num w:numId="4">
    <w:abstractNumId w:val="16"/>
  </w:num>
  <w:num w:numId="5">
    <w:abstractNumId w:val="2"/>
  </w:num>
  <w:num w:numId="6">
    <w:abstractNumId w:val="9"/>
  </w:num>
  <w:num w:numId="7">
    <w:abstractNumId w:val="23"/>
  </w:num>
  <w:num w:numId="8">
    <w:abstractNumId w:val="5"/>
  </w:num>
  <w:num w:numId="9">
    <w:abstractNumId w:val="20"/>
  </w:num>
  <w:num w:numId="10">
    <w:abstractNumId w:val="10"/>
  </w:num>
  <w:num w:numId="11">
    <w:abstractNumId w:val="22"/>
  </w:num>
  <w:num w:numId="12">
    <w:abstractNumId w:val="14"/>
  </w:num>
  <w:num w:numId="13">
    <w:abstractNumId w:val="8"/>
  </w:num>
  <w:num w:numId="14">
    <w:abstractNumId w:val="13"/>
  </w:num>
  <w:num w:numId="15">
    <w:abstractNumId w:val="4"/>
  </w:num>
  <w:num w:numId="16">
    <w:abstractNumId w:val="24"/>
  </w:num>
  <w:num w:numId="17">
    <w:abstractNumId w:val="7"/>
  </w:num>
  <w:num w:numId="18">
    <w:abstractNumId w:val="17"/>
  </w:num>
  <w:num w:numId="19">
    <w:abstractNumId w:val="0"/>
  </w:num>
  <w:num w:numId="20">
    <w:abstractNumId w:val="1"/>
  </w:num>
  <w:num w:numId="21">
    <w:abstractNumId w:val="11"/>
  </w:num>
  <w:num w:numId="22">
    <w:abstractNumId w:val="19"/>
  </w:num>
  <w:num w:numId="23">
    <w:abstractNumId w:val="15"/>
  </w:num>
  <w:num w:numId="24">
    <w:abstractNumId w:val="6"/>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jYWNjNTllMjJlMTMwMTM5MDVmZTkwNGFmYWYzNTM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285"/>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183089"/>
    <w:rsid w:val="032076CE"/>
    <w:rsid w:val="036A374F"/>
    <w:rsid w:val="03A30E06"/>
    <w:rsid w:val="03B47DC1"/>
    <w:rsid w:val="04212517"/>
    <w:rsid w:val="043B10A6"/>
    <w:rsid w:val="04F57CED"/>
    <w:rsid w:val="056A1D11"/>
    <w:rsid w:val="058B60C2"/>
    <w:rsid w:val="05A30D0A"/>
    <w:rsid w:val="05B41169"/>
    <w:rsid w:val="06686C72"/>
    <w:rsid w:val="067547B1"/>
    <w:rsid w:val="072256E2"/>
    <w:rsid w:val="073443D9"/>
    <w:rsid w:val="07B94814"/>
    <w:rsid w:val="07CD53CA"/>
    <w:rsid w:val="07FD21B0"/>
    <w:rsid w:val="0834602A"/>
    <w:rsid w:val="086E5263"/>
    <w:rsid w:val="0886512B"/>
    <w:rsid w:val="08AD31FB"/>
    <w:rsid w:val="0A365262"/>
    <w:rsid w:val="0A4A0725"/>
    <w:rsid w:val="0ABD7054"/>
    <w:rsid w:val="0AD91528"/>
    <w:rsid w:val="0CD7158E"/>
    <w:rsid w:val="0DC94717"/>
    <w:rsid w:val="0F033741"/>
    <w:rsid w:val="0F9176D0"/>
    <w:rsid w:val="10606175"/>
    <w:rsid w:val="11202301"/>
    <w:rsid w:val="117C00ED"/>
    <w:rsid w:val="11D90D02"/>
    <w:rsid w:val="139560D4"/>
    <w:rsid w:val="145C6C53"/>
    <w:rsid w:val="148C6E27"/>
    <w:rsid w:val="14A71296"/>
    <w:rsid w:val="14E2694B"/>
    <w:rsid w:val="163D6B0E"/>
    <w:rsid w:val="168C5932"/>
    <w:rsid w:val="176D0592"/>
    <w:rsid w:val="194C4AAD"/>
    <w:rsid w:val="1B555E6B"/>
    <w:rsid w:val="1C295179"/>
    <w:rsid w:val="1C713E3D"/>
    <w:rsid w:val="1CB52B35"/>
    <w:rsid w:val="1E005FA5"/>
    <w:rsid w:val="1E4C2C3B"/>
    <w:rsid w:val="1E544886"/>
    <w:rsid w:val="1EC93DFC"/>
    <w:rsid w:val="1EE04EB1"/>
    <w:rsid w:val="1F544592"/>
    <w:rsid w:val="203756AF"/>
    <w:rsid w:val="20CD1E0F"/>
    <w:rsid w:val="22A2772B"/>
    <w:rsid w:val="233F236F"/>
    <w:rsid w:val="24346033"/>
    <w:rsid w:val="25332346"/>
    <w:rsid w:val="260D76B9"/>
    <w:rsid w:val="267E2238"/>
    <w:rsid w:val="269E58D6"/>
    <w:rsid w:val="274C5429"/>
    <w:rsid w:val="294008AF"/>
    <w:rsid w:val="29CF1658"/>
    <w:rsid w:val="29D659C5"/>
    <w:rsid w:val="2AFC6824"/>
    <w:rsid w:val="2C331C72"/>
    <w:rsid w:val="2C9E5875"/>
    <w:rsid w:val="2DA763C8"/>
    <w:rsid w:val="2F9E1E2F"/>
    <w:rsid w:val="2FA73189"/>
    <w:rsid w:val="2FAF4C07"/>
    <w:rsid w:val="30F67906"/>
    <w:rsid w:val="314D0EE2"/>
    <w:rsid w:val="32043FBE"/>
    <w:rsid w:val="32E90F84"/>
    <w:rsid w:val="33663940"/>
    <w:rsid w:val="33F36BFE"/>
    <w:rsid w:val="35415CC5"/>
    <w:rsid w:val="35625557"/>
    <w:rsid w:val="35E60E9D"/>
    <w:rsid w:val="35FC3504"/>
    <w:rsid w:val="360B22A6"/>
    <w:rsid w:val="36417AA0"/>
    <w:rsid w:val="36CC7811"/>
    <w:rsid w:val="371B2546"/>
    <w:rsid w:val="37E52050"/>
    <w:rsid w:val="384A186B"/>
    <w:rsid w:val="3880626D"/>
    <w:rsid w:val="38E52FBE"/>
    <w:rsid w:val="3A2B1F54"/>
    <w:rsid w:val="3A38784C"/>
    <w:rsid w:val="3A5B1046"/>
    <w:rsid w:val="3B38142F"/>
    <w:rsid w:val="3B5C2526"/>
    <w:rsid w:val="3BA478A4"/>
    <w:rsid w:val="3BE60068"/>
    <w:rsid w:val="3C5E5B29"/>
    <w:rsid w:val="3C933C0E"/>
    <w:rsid w:val="3CE47B2E"/>
    <w:rsid w:val="3CF01CC5"/>
    <w:rsid w:val="3CFA5E5C"/>
    <w:rsid w:val="3E9D72A2"/>
    <w:rsid w:val="3EA811A8"/>
    <w:rsid w:val="3EB640DE"/>
    <w:rsid w:val="40646D0C"/>
    <w:rsid w:val="407F3B46"/>
    <w:rsid w:val="415D16B6"/>
    <w:rsid w:val="447B74B4"/>
    <w:rsid w:val="44ED4117"/>
    <w:rsid w:val="44F63F7F"/>
    <w:rsid w:val="45FA028D"/>
    <w:rsid w:val="460A0EAE"/>
    <w:rsid w:val="473C51A7"/>
    <w:rsid w:val="4820224D"/>
    <w:rsid w:val="49137B1B"/>
    <w:rsid w:val="49A90486"/>
    <w:rsid w:val="4A7107B0"/>
    <w:rsid w:val="4ABF7A2E"/>
    <w:rsid w:val="4B386D45"/>
    <w:rsid w:val="4CD337E9"/>
    <w:rsid w:val="4DC30244"/>
    <w:rsid w:val="4EBB7C58"/>
    <w:rsid w:val="501972E0"/>
    <w:rsid w:val="506015E4"/>
    <w:rsid w:val="524C30E6"/>
    <w:rsid w:val="52607EE4"/>
    <w:rsid w:val="54890F5A"/>
    <w:rsid w:val="55300172"/>
    <w:rsid w:val="553B7BF2"/>
    <w:rsid w:val="568B7EE3"/>
    <w:rsid w:val="580C7B94"/>
    <w:rsid w:val="581B1F4E"/>
    <w:rsid w:val="58A61818"/>
    <w:rsid w:val="58B11C11"/>
    <w:rsid w:val="59691B3E"/>
    <w:rsid w:val="5A0F3C17"/>
    <w:rsid w:val="5B5D4FDD"/>
    <w:rsid w:val="5CB13BA9"/>
    <w:rsid w:val="5E19638D"/>
    <w:rsid w:val="5F373FBF"/>
    <w:rsid w:val="5FA559DE"/>
    <w:rsid w:val="60AD60FE"/>
    <w:rsid w:val="60AE671D"/>
    <w:rsid w:val="626266E7"/>
    <w:rsid w:val="62A3326C"/>
    <w:rsid w:val="62A87EE4"/>
    <w:rsid w:val="63051A3D"/>
    <w:rsid w:val="644454F5"/>
    <w:rsid w:val="64B96D77"/>
    <w:rsid w:val="656D4231"/>
    <w:rsid w:val="65970E49"/>
    <w:rsid w:val="662305C2"/>
    <w:rsid w:val="66CF6EB7"/>
    <w:rsid w:val="67C25449"/>
    <w:rsid w:val="67FE6E91"/>
    <w:rsid w:val="68283161"/>
    <w:rsid w:val="68807A41"/>
    <w:rsid w:val="69191871"/>
    <w:rsid w:val="69A23E61"/>
    <w:rsid w:val="6BB172A6"/>
    <w:rsid w:val="6C3867D3"/>
    <w:rsid w:val="6D0D6464"/>
    <w:rsid w:val="6D5F728E"/>
    <w:rsid w:val="6DCF13B9"/>
    <w:rsid w:val="6EEF289A"/>
    <w:rsid w:val="6EF230AA"/>
    <w:rsid w:val="6F25667C"/>
    <w:rsid w:val="70A1532D"/>
    <w:rsid w:val="7263752C"/>
    <w:rsid w:val="73935206"/>
    <w:rsid w:val="73EC1AA2"/>
    <w:rsid w:val="744F0B5E"/>
    <w:rsid w:val="744F6DB0"/>
    <w:rsid w:val="74930B59"/>
    <w:rsid w:val="77BE5CAD"/>
    <w:rsid w:val="77D221D2"/>
    <w:rsid w:val="7828682C"/>
    <w:rsid w:val="78801C2E"/>
    <w:rsid w:val="7981729A"/>
    <w:rsid w:val="7AEE5860"/>
    <w:rsid w:val="7B327CBF"/>
    <w:rsid w:val="7BD7640F"/>
    <w:rsid w:val="7E3A23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link w:val="78"/>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7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53"/>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8">
    <w:name w:val="toc 3"/>
    <w:basedOn w:val="1"/>
    <w:next w:val="1"/>
    <w:unhideWhenUsed/>
    <w:qFormat/>
    <w:uiPriority w:val="39"/>
    <w:pPr>
      <w:ind w:left="840" w:leftChars="400"/>
    </w:pPr>
  </w:style>
  <w:style w:type="paragraph" w:styleId="9">
    <w:name w:val="Plain Text"/>
    <w:basedOn w:val="1"/>
    <w:link w:val="65"/>
    <w:qFormat/>
    <w:uiPriority w:val="0"/>
    <w:rPr>
      <w:rFonts w:ascii="宋体" w:hAnsi="Courier New" w:cs="Courier New"/>
      <w:szCs w:val="21"/>
    </w:rPr>
  </w:style>
  <w:style w:type="paragraph" w:styleId="10">
    <w:name w:val="Date"/>
    <w:basedOn w:val="1"/>
    <w:next w:val="1"/>
    <w:link w:val="77"/>
    <w:qFormat/>
    <w:uiPriority w:val="0"/>
    <w:pPr>
      <w:ind w:left="100" w:leftChars="2500"/>
    </w:pPr>
  </w:style>
  <w:style w:type="paragraph" w:styleId="11">
    <w:name w:val="Balloon Text"/>
    <w:basedOn w:val="1"/>
    <w:link w:val="55"/>
    <w:qFormat/>
    <w:uiPriority w:val="0"/>
    <w:rPr>
      <w:sz w:val="18"/>
      <w:szCs w:val="18"/>
    </w:rPr>
  </w:style>
  <w:style w:type="paragraph" w:styleId="12">
    <w:name w:val="footer"/>
    <w:basedOn w:val="1"/>
    <w:link w:val="57"/>
    <w:qFormat/>
    <w:uiPriority w:val="99"/>
    <w:pPr>
      <w:tabs>
        <w:tab w:val="center" w:pos="4153"/>
        <w:tab w:val="right" w:pos="8306"/>
      </w:tabs>
      <w:snapToGrid w:val="0"/>
      <w:jc w:val="left"/>
    </w:pPr>
    <w:rPr>
      <w:sz w:val="18"/>
    </w:rPr>
  </w:style>
  <w:style w:type="paragraph" w:styleId="13">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Body Text Indent 3"/>
    <w:basedOn w:val="1"/>
    <w:qFormat/>
    <w:uiPriority w:val="0"/>
    <w:pPr>
      <w:spacing w:after="120"/>
      <w:ind w:left="420" w:leftChars="200"/>
    </w:pPr>
    <w:rPr>
      <w:sz w:val="16"/>
      <w:szCs w:val="16"/>
    </w:rPr>
  </w:style>
  <w:style w:type="paragraph" w:styleId="16">
    <w:name w:val="toc 2"/>
    <w:basedOn w:val="1"/>
    <w:next w:val="1"/>
    <w:unhideWhenUsed/>
    <w:qFormat/>
    <w:uiPriority w:val="39"/>
    <w:pPr>
      <w:ind w:left="420" w:leftChars="200"/>
    </w:pPr>
  </w:style>
  <w:style w:type="paragraph" w:styleId="17">
    <w:name w:val="Body Text 2"/>
    <w:basedOn w:val="1"/>
    <w:qFormat/>
    <w:uiPriority w:val="0"/>
    <w:rPr>
      <w:rFonts w:ascii="宋体"/>
      <w:sz w:val="18"/>
      <w:szCs w:val="20"/>
    </w:r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66"/>
    <w:qFormat/>
    <w:uiPriority w:val="0"/>
    <w:pPr>
      <w:spacing w:before="240" w:after="60"/>
      <w:jc w:val="center"/>
      <w:outlineLvl w:val="0"/>
    </w:pPr>
    <w:rPr>
      <w:rFonts w:ascii="Calibri Light" w:hAnsi="Calibri Light"/>
      <w:b/>
      <w:bCs/>
      <w:sz w:val="32"/>
      <w:szCs w:val="32"/>
    </w:rPr>
  </w:style>
  <w:style w:type="paragraph" w:styleId="20">
    <w:name w:val="annotation subject"/>
    <w:basedOn w:val="5"/>
    <w:next w:val="5"/>
    <w:link w:val="54"/>
    <w:qFormat/>
    <w:uiPriority w:val="0"/>
    <w:rPr>
      <w:b/>
      <w:bCs/>
    </w:rPr>
  </w:style>
  <w:style w:type="paragraph" w:styleId="21">
    <w:name w:val="Body Text First Indent"/>
    <w:basedOn w:val="6"/>
    <w:qFormat/>
    <w:uiPriority w:val="0"/>
    <w:pPr>
      <w:ind w:firstLine="100" w:firstLineChars="10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Emphasis"/>
    <w:basedOn w:val="24"/>
    <w:qFormat/>
    <w:uiPriority w:val="20"/>
    <w:rPr>
      <w:i/>
      <w:iCs/>
    </w:rPr>
  </w:style>
  <w:style w:type="character" w:styleId="26">
    <w:name w:val="Hyperlink"/>
    <w:basedOn w:val="24"/>
    <w:unhideWhenUsed/>
    <w:qFormat/>
    <w:uiPriority w:val="99"/>
    <w:rPr>
      <w:color w:val="0000FF"/>
      <w:u w:val="single"/>
    </w:rPr>
  </w:style>
  <w:style w:type="character" w:styleId="27">
    <w:name w:val="annotation reference"/>
    <w:basedOn w:val="24"/>
    <w:qFormat/>
    <w:uiPriority w:val="0"/>
    <w:rPr>
      <w:sz w:val="21"/>
      <w:szCs w:val="21"/>
    </w:rPr>
  </w:style>
  <w:style w:type="paragraph" w:customStyle="1" w:styleId="28">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3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1">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2">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4">
    <w:name w:val="封面标准英文名称"/>
    <w:basedOn w:val="33"/>
    <w:qFormat/>
    <w:uiPriority w:val="0"/>
    <w:pPr>
      <w:framePr w:wrap="around"/>
      <w:spacing w:before="370" w:line="400" w:lineRule="exact"/>
    </w:pPr>
    <w:rPr>
      <w:rFonts w:ascii="Times New Roman"/>
      <w:sz w:val="28"/>
      <w:szCs w:val="28"/>
    </w:rPr>
  </w:style>
  <w:style w:type="paragraph" w:customStyle="1" w:styleId="35">
    <w:name w:val="封面一致性程度标识"/>
    <w:basedOn w:val="34"/>
    <w:qFormat/>
    <w:uiPriority w:val="0"/>
    <w:pPr>
      <w:framePr w:wrap="around"/>
      <w:spacing w:before="440"/>
    </w:pPr>
    <w:rPr>
      <w:rFonts w:ascii="宋体" w:eastAsia="宋体"/>
    </w:rPr>
  </w:style>
  <w:style w:type="paragraph" w:customStyle="1" w:styleId="36">
    <w:name w:val="封面标准文稿类别"/>
    <w:basedOn w:val="35"/>
    <w:qFormat/>
    <w:uiPriority w:val="0"/>
    <w:pPr>
      <w:framePr w:wrap="around"/>
      <w:spacing w:after="160" w:line="240" w:lineRule="auto"/>
    </w:pPr>
    <w:rPr>
      <w:sz w:val="24"/>
    </w:rPr>
  </w:style>
  <w:style w:type="paragraph" w:customStyle="1" w:styleId="37">
    <w:name w:val="封面标准文稿编辑信息"/>
    <w:basedOn w:val="36"/>
    <w:qFormat/>
    <w:uiPriority w:val="0"/>
    <w:pPr>
      <w:framePr w:wrap="around"/>
      <w:spacing w:before="180" w:line="180" w:lineRule="exact"/>
    </w:pPr>
    <w:rPr>
      <w:sz w:val="21"/>
    </w:rPr>
  </w:style>
  <w:style w:type="paragraph" w:customStyle="1" w:styleId="38">
    <w:name w:val="其他发布日期"/>
    <w:basedOn w:val="39"/>
    <w:qFormat/>
    <w:uiPriority w:val="0"/>
    <w:pPr>
      <w:framePr w:wrap="around" w:vAnchor="page" w:hAnchor="text" w:x="1419"/>
    </w:pPr>
  </w:style>
  <w:style w:type="paragraph" w:customStyle="1" w:styleId="39">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40">
    <w:name w:val="其他实施日期"/>
    <w:basedOn w:val="41"/>
    <w:qFormat/>
    <w:uiPriority w:val="0"/>
    <w:pPr>
      <w:framePr w:wrap="around"/>
    </w:pPr>
  </w:style>
  <w:style w:type="paragraph" w:customStyle="1" w:styleId="41">
    <w:name w:val="实施日期"/>
    <w:basedOn w:val="39"/>
    <w:qFormat/>
    <w:uiPriority w:val="0"/>
    <w:pPr>
      <w:framePr w:wrap="around" w:vAnchor="page" w:hAnchor="text"/>
      <w:jc w:val="right"/>
    </w:pPr>
  </w:style>
  <w:style w:type="paragraph" w:customStyle="1" w:styleId="42">
    <w:name w:val="其他发布部门"/>
    <w:basedOn w:val="43"/>
    <w:qFormat/>
    <w:uiPriority w:val="0"/>
    <w:pPr>
      <w:framePr w:wrap="around" w:y="15310"/>
      <w:spacing w:line="0" w:lineRule="atLeast"/>
    </w:pPr>
    <w:rPr>
      <w:rFonts w:ascii="黑体" w:eastAsia="黑体"/>
      <w:b w:val="0"/>
    </w:rPr>
  </w:style>
  <w:style w:type="paragraph" w:customStyle="1" w:styleId="43">
    <w:name w:val="发布部门"/>
    <w:next w:val="44"/>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4">
    <w:name w:val="段"/>
    <w:link w:val="52"/>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5">
    <w:name w:val="发布"/>
    <w:qFormat/>
    <w:uiPriority w:val="0"/>
    <w:rPr>
      <w:rFonts w:ascii="黑体" w:eastAsia="黑体"/>
      <w:spacing w:val="85"/>
      <w:w w:val="100"/>
      <w:position w:val="3"/>
      <w:sz w:val="28"/>
      <w:szCs w:val="28"/>
    </w:rPr>
  </w:style>
  <w:style w:type="paragraph" w:customStyle="1" w:styleId="46">
    <w:name w:val="前言、引言标题"/>
    <w:next w:val="44"/>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7">
    <w:name w:val="目次、标准名称标题"/>
    <w:basedOn w:val="1"/>
    <w:next w:val="44"/>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8">
    <w:name w:val="章标题"/>
    <w:next w:val="44"/>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9">
    <w:name w:val="终结线"/>
    <w:basedOn w:val="1"/>
    <w:qFormat/>
    <w:uiPriority w:val="0"/>
    <w:pPr>
      <w:framePr w:hSpace="181" w:vSpace="181" w:wrap="around" w:vAnchor="text" w:hAnchor="margin" w:xAlign="center" w:y="285"/>
    </w:pPr>
  </w:style>
  <w:style w:type="character" w:customStyle="1" w:styleId="50">
    <w:name w:val="页眉 Char"/>
    <w:link w:val="13"/>
    <w:qFormat/>
    <w:uiPriority w:val="99"/>
    <w:rPr>
      <w:kern w:val="2"/>
      <w:sz w:val="18"/>
      <w:szCs w:val="18"/>
    </w:rPr>
  </w:style>
  <w:style w:type="paragraph" w:customStyle="1" w:styleId="51">
    <w:name w:val="修订1"/>
    <w:hidden/>
    <w:unhideWhenUsed/>
    <w:qFormat/>
    <w:uiPriority w:val="99"/>
    <w:rPr>
      <w:rFonts w:ascii="Calibri" w:hAnsi="Calibri" w:eastAsia="宋体" w:cs="Times New Roman"/>
      <w:kern w:val="2"/>
      <w:sz w:val="21"/>
      <w:szCs w:val="24"/>
      <w:lang w:val="en-US" w:eastAsia="zh-CN" w:bidi="ar-SA"/>
    </w:rPr>
  </w:style>
  <w:style w:type="character" w:customStyle="1" w:styleId="52">
    <w:name w:val="段 Char"/>
    <w:link w:val="44"/>
    <w:qFormat/>
    <w:uiPriority w:val="0"/>
    <w:rPr>
      <w:rFonts w:ascii="黑体" w:hAnsi="黑体" w:eastAsia="黑体"/>
      <w:sz w:val="21"/>
      <w:szCs w:val="22"/>
    </w:rPr>
  </w:style>
  <w:style w:type="character" w:customStyle="1" w:styleId="53">
    <w:name w:val="批注文字 Char"/>
    <w:link w:val="5"/>
    <w:qFormat/>
    <w:uiPriority w:val="0"/>
    <w:rPr>
      <w:kern w:val="2"/>
      <w:sz w:val="21"/>
      <w:szCs w:val="24"/>
    </w:rPr>
  </w:style>
  <w:style w:type="character" w:customStyle="1" w:styleId="54">
    <w:name w:val="批注主题 Char"/>
    <w:link w:val="20"/>
    <w:qFormat/>
    <w:uiPriority w:val="0"/>
    <w:rPr>
      <w:b/>
      <w:bCs/>
      <w:kern w:val="2"/>
      <w:sz w:val="21"/>
      <w:szCs w:val="24"/>
    </w:rPr>
  </w:style>
  <w:style w:type="character" w:customStyle="1" w:styleId="55">
    <w:name w:val="批注框文本 Char"/>
    <w:link w:val="11"/>
    <w:qFormat/>
    <w:uiPriority w:val="0"/>
    <w:rPr>
      <w:kern w:val="2"/>
      <w:sz w:val="18"/>
      <w:szCs w:val="18"/>
    </w:rPr>
  </w:style>
  <w:style w:type="paragraph" w:styleId="56">
    <w:name w:val="List Paragraph"/>
    <w:basedOn w:val="1"/>
    <w:qFormat/>
    <w:uiPriority w:val="99"/>
  </w:style>
  <w:style w:type="character" w:customStyle="1" w:styleId="57">
    <w:name w:val="页脚 Char"/>
    <w:link w:val="12"/>
    <w:qFormat/>
    <w:uiPriority w:val="99"/>
    <w:rPr>
      <w:rFonts w:ascii="Calibri" w:hAnsi="Calibri" w:eastAsia="宋体" w:cs="Times New Roman"/>
      <w:kern w:val="2"/>
      <w:sz w:val="18"/>
      <w:szCs w:val="24"/>
    </w:rPr>
  </w:style>
  <w:style w:type="paragraph" w:customStyle="1" w:styleId="58">
    <w:name w:val="一级条标题"/>
    <w:next w:val="1"/>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1">
    <w:name w:val="二级条标题"/>
    <w:basedOn w:val="58"/>
    <w:next w:val="44"/>
    <w:qFormat/>
    <w:uiPriority w:val="0"/>
    <w:pPr>
      <w:spacing w:before="50" w:after="50"/>
      <w:ind w:left="0"/>
      <w:outlineLvl w:val="3"/>
    </w:pPr>
  </w:style>
  <w:style w:type="paragraph" w:customStyle="1" w:styleId="62">
    <w:name w:val="三级条标题"/>
    <w:basedOn w:val="61"/>
    <w:next w:val="1"/>
    <w:qFormat/>
    <w:uiPriority w:val="0"/>
    <w:pPr>
      <w:ind w:left="1134"/>
      <w:outlineLvl w:val="4"/>
    </w:pPr>
  </w:style>
  <w:style w:type="paragraph" w:customStyle="1" w:styleId="63">
    <w:name w:val="四级条标题"/>
    <w:basedOn w:val="62"/>
    <w:next w:val="44"/>
    <w:qFormat/>
    <w:uiPriority w:val="0"/>
    <w:pPr>
      <w:ind w:left="0"/>
      <w:outlineLvl w:val="5"/>
    </w:pPr>
  </w:style>
  <w:style w:type="paragraph" w:customStyle="1" w:styleId="64">
    <w:name w:val="五级条标题"/>
    <w:basedOn w:val="63"/>
    <w:next w:val="44"/>
    <w:qFormat/>
    <w:uiPriority w:val="0"/>
    <w:pPr>
      <w:outlineLvl w:val="6"/>
    </w:pPr>
  </w:style>
  <w:style w:type="character" w:customStyle="1" w:styleId="65">
    <w:name w:val="纯文本 Char"/>
    <w:link w:val="9"/>
    <w:qFormat/>
    <w:uiPriority w:val="0"/>
    <w:rPr>
      <w:rFonts w:ascii="宋体" w:hAnsi="Courier New" w:eastAsia="宋体" w:cs="Courier New"/>
      <w:kern w:val="2"/>
      <w:sz w:val="21"/>
      <w:szCs w:val="21"/>
    </w:rPr>
  </w:style>
  <w:style w:type="character" w:customStyle="1" w:styleId="66">
    <w:name w:val="标题 Char"/>
    <w:link w:val="19"/>
    <w:qFormat/>
    <w:uiPriority w:val="0"/>
    <w:rPr>
      <w:rFonts w:ascii="Calibri Light" w:hAnsi="Calibri Light" w:cs="Times New Roman"/>
      <w:b/>
      <w:bCs/>
      <w:kern w:val="2"/>
      <w:sz w:val="32"/>
      <w:szCs w:val="32"/>
    </w:rPr>
  </w:style>
  <w:style w:type="character" w:styleId="67">
    <w:name w:val="Placeholder Text"/>
    <w:basedOn w:val="24"/>
    <w:semiHidden/>
    <w:qFormat/>
    <w:uiPriority w:val="99"/>
    <w:rPr>
      <w:color w:val="808080"/>
    </w:rPr>
  </w:style>
  <w:style w:type="paragraph" w:customStyle="1" w:styleId="68">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9">
    <w:name w:val="章"/>
    <w:basedOn w:val="1"/>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70">
    <w:name w:val="标题 2 Char"/>
    <w:basedOn w:val="24"/>
    <w:link w:val="3"/>
    <w:qFormat/>
    <w:uiPriority w:val="0"/>
    <w:rPr>
      <w:rFonts w:asciiTheme="majorHAnsi" w:hAnsiTheme="majorHAnsi" w:eastAsiaTheme="majorEastAsia" w:cstheme="majorBidi"/>
      <w:b/>
      <w:bCs/>
      <w:kern w:val="2"/>
      <w:sz w:val="32"/>
      <w:szCs w:val="32"/>
    </w:rPr>
  </w:style>
  <w:style w:type="paragraph" w:customStyle="1" w:styleId="71">
    <w:name w:val="附录A列表"/>
    <w:basedOn w:val="1"/>
    <w:qFormat/>
    <w:uiPriority w:val="0"/>
    <w:pPr>
      <w:keepNext/>
      <w:spacing w:line="300" w:lineRule="auto"/>
      <w:jc w:val="center"/>
    </w:pPr>
  </w:style>
  <w:style w:type="paragraph" w:customStyle="1" w:styleId="72">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3">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4">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5">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6">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7">
    <w:name w:val="日期 Char"/>
    <w:basedOn w:val="24"/>
    <w:link w:val="10"/>
    <w:qFormat/>
    <w:uiPriority w:val="0"/>
    <w:rPr>
      <w:rFonts w:asciiTheme="minorEastAsia" w:hAnsiTheme="minorEastAsia" w:eastAsiaTheme="minorEastAsia"/>
      <w:sz w:val="21"/>
      <w:szCs w:val="22"/>
    </w:rPr>
  </w:style>
  <w:style w:type="character" w:customStyle="1" w:styleId="78">
    <w:name w:val="标题 1 Char"/>
    <w:link w:val="2"/>
    <w:qFormat/>
    <w:uiPriority w:val="0"/>
    <w:rPr>
      <w:rFonts w:ascii="Times New Roman" w:hAnsi="Times New Roman"/>
      <w:b/>
      <w:kern w:val="44"/>
      <w:sz w:val="44"/>
    </w:rPr>
  </w:style>
  <w:style w:type="paragraph" w:customStyle="1" w:styleId="79">
    <w:name w:val="正文表标题"/>
    <w:next w:val="1"/>
    <w:qFormat/>
    <w:uiPriority w:val="0"/>
    <w:pPr>
      <w:numPr>
        <w:ilvl w:val="0"/>
        <w:numId w:val="3"/>
      </w:numPr>
      <w:spacing w:before="156" w:beforeLines="50" w:after="156" w:afterLines="50"/>
      <w:jc w:val="center"/>
    </w:pPr>
    <w:rPr>
      <w:rFonts w:ascii="黑体" w:hAnsi="Times New Roman" w:eastAsia="黑体" w:cs="Times New Roman"/>
      <w:sz w:val="21"/>
      <w:szCs w:val="22"/>
      <w:lang w:val="en-US" w:eastAsia="zh-CN" w:bidi="ar-SA"/>
    </w:rPr>
  </w:style>
  <w:style w:type="paragraph" w:customStyle="1" w:styleId="80">
    <w:name w:val="列表段落1"/>
    <w:basedOn w:val="1"/>
    <w:qFormat/>
    <w:uiPriority w:val="34"/>
    <w:pPr>
      <w:widowControl/>
      <w:ind w:firstLine="420" w:firstLineChars="200"/>
      <w:jc w:val="left"/>
    </w:pPr>
    <w:rPr>
      <w:rFonts w:ascii="宋体" w:hAnsi="宋体" w:cs="宋体"/>
      <w:kern w:val="0"/>
      <w:sz w:val="24"/>
      <w:szCs w:val="24"/>
    </w:rPr>
  </w:style>
  <w:style w:type="paragraph" w:customStyle="1" w:styleId="81">
    <w:name w:val="条文"/>
    <w:basedOn w:val="1"/>
    <w:qFormat/>
    <w:uiPriority w:val="0"/>
    <w:pPr>
      <w:spacing w:line="300" w:lineRule="auto"/>
      <w:outlineLvl w:val="2"/>
    </w:pPr>
    <w:rPr>
      <w:sz w:val="24"/>
      <w:szCs w:val="24"/>
    </w:rPr>
  </w:style>
  <w:style w:type="paragraph" w:customStyle="1" w:styleId="82">
    <w:name w:val="WPSOffice手动目录 1"/>
    <w:qFormat/>
    <w:uiPriority w:val="0"/>
    <w:pPr>
      <w:ind w:leftChars="0"/>
    </w:pPr>
    <w:rPr>
      <w:rFonts w:ascii="Times New Roman" w:hAnsi="Times New Roman" w:eastAsia="宋体" w:cs="Times New Roman"/>
      <w:sz w:val="20"/>
      <w:szCs w:val="20"/>
    </w:rPr>
  </w:style>
  <w:style w:type="paragraph" w:customStyle="1" w:styleId="83">
    <w:name w:val="WPSOffice手动目录 2"/>
    <w:qFormat/>
    <w:uiPriority w:val="0"/>
    <w:pPr>
      <w:ind w:leftChars="200"/>
    </w:pPr>
    <w:rPr>
      <w:rFonts w:ascii="Times New Roman" w:hAnsi="Times New Roman" w:eastAsia="宋体" w:cs="Times New Roman"/>
      <w:sz w:val="20"/>
      <w:szCs w:val="20"/>
    </w:rPr>
  </w:style>
  <w:style w:type="paragraph" w:customStyle="1" w:styleId="84">
    <w:name w:val="附录标识"/>
    <w:basedOn w:val="1"/>
    <w:qFormat/>
    <w:uiPriority w:val="0"/>
    <w:pPr>
      <w:widowControl/>
      <w:numPr>
        <w:ilvl w:val="0"/>
        <w:numId w:val="4"/>
      </w:numPr>
      <w:shd w:val="clear" w:color="FFFFFF" w:fill="FFFFFF"/>
      <w:tabs>
        <w:tab w:val="left" w:pos="6405"/>
        <w:tab w:val="clear" w:pos="4201"/>
        <w:tab w:val="clear" w:pos="9298"/>
      </w:tabs>
      <w:spacing w:before="640" w:after="200"/>
      <w:jc w:val="center"/>
      <w:outlineLvl w:val="0"/>
    </w:pPr>
    <w:rPr>
      <w:rFonts w:ascii="黑体" w:eastAsia="黑体"/>
      <w:kern w:val="0"/>
      <w:szCs w:val="20"/>
    </w:rPr>
  </w:style>
  <w:style w:type="paragraph" w:customStyle="1" w:styleId="85">
    <w:name w:val="附录章标题"/>
    <w:next w:val="44"/>
    <w:autoRedefine/>
    <w:qFormat/>
    <w:uiPriority w:val="0"/>
    <w:pPr>
      <w:numPr>
        <w:ilvl w:val="1"/>
        <w:numId w:val="4"/>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6">
    <w:name w:val="附录一级条标题"/>
    <w:basedOn w:val="85"/>
    <w:next w:val="44"/>
    <w:autoRedefine/>
    <w:qFormat/>
    <w:uiPriority w:val="0"/>
    <w:pPr>
      <w:numPr>
        <w:ilvl w:val="2"/>
        <w:numId w:val="4"/>
      </w:numPr>
      <w:autoSpaceDN w:val="0"/>
      <w:spacing w:before="0" w:beforeLines="0" w:after="0" w:afterLines="0"/>
      <w:outlineLvl w:val="2"/>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37</Pages>
  <Words>4952</Words>
  <Characters>5776</Characters>
  <Lines>46</Lines>
  <Paragraphs>13</Paragraphs>
  <TotalTime>4</TotalTime>
  <ScaleCrop>false</ScaleCrop>
  <LinksUpToDate>false</LinksUpToDate>
  <CharactersWithSpaces>5966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2022-06-16T06:02:00Z</dcterms:created>
  <dc:creator>梵高先生 </dc:creator>
  <cp:lastModifiedBy>麦兜</cp:lastModifiedBy>
  <cp:lastPrinted>2022-05-11T03:12:00Z</cp:lastPrinted>
  <dcterms:modified xsi:type="dcterms:W3CDTF">2025-01-21T09:20:03Z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02CEA98EF5CC4DCBA40805BD9627E6A6_13</vt:lpwstr>
  </property>
  <property fmtid="{D5CDD505-2E9C-101B-9397-08002B2CF9AE}" pid="4" name="KSOTemplateDocerSaveRecord">
    <vt:lpwstr>eyJoZGlkIjoiNThjYWNjNTllMjJlMTMwMTM5MDVmZTkwNGFmYWYzNTMiLCJ1c2VySWQiOiIyODM0MjUyMDMifQ==</vt:lpwstr>
  </property>
</Properties>
</file>